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rPr>
          <w:rFonts w:ascii="黑体" w:hAnsi="黑体" w:eastAsia="黑体"/>
          <w:sz w:val="36"/>
          <w:szCs w:val="32"/>
          <w:highlight w:val="none"/>
        </w:rPr>
      </w:pPr>
      <w:r>
        <w:rPr>
          <w:rFonts w:hint="eastAsia" w:ascii="黑体" w:hAnsi="黑体" w:eastAsia="黑体" w:cs="宋体"/>
          <w:color w:val="000000"/>
          <w:szCs w:val="28"/>
          <w:highlight w:val="none"/>
        </w:rPr>
        <w:t>附件</w:t>
      </w:r>
      <w:r>
        <w:rPr>
          <w:rFonts w:hint="eastAsia" w:ascii="黑体" w:hAnsi="黑体" w:eastAsia="黑体" w:cs="宋体"/>
          <w:color w:val="000000"/>
          <w:szCs w:val="28"/>
          <w:highlight w:val="none"/>
          <w:lang w:val="en-US" w:eastAsia="zh-CN"/>
        </w:rPr>
        <w:t>1</w:t>
      </w:r>
    </w:p>
    <w:p>
      <w:pPr>
        <w:widowControl w:val="0"/>
        <w:adjustRightInd w:val="0"/>
        <w:snapToGrid w:val="0"/>
        <w:jc w:val="center"/>
        <w:rPr>
          <w:rFonts w:ascii="方正小标宋简体" w:hAnsi="宋体" w:eastAsia="方正小标宋简体" w:cs="宋体"/>
          <w:color w:val="000000"/>
          <w:sz w:val="44"/>
          <w:szCs w:val="44"/>
          <w:highlight w:val="none"/>
        </w:rPr>
      </w:pPr>
      <w:r>
        <w:rPr>
          <w:rFonts w:hint="eastAsia" w:ascii="方正小标宋简体" w:hAnsi="宋体" w:eastAsia="方正小标宋简体" w:cs="宋体"/>
          <w:color w:val="000000"/>
          <w:sz w:val="44"/>
          <w:szCs w:val="44"/>
          <w:highlight w:val="none"/>
          <w:lang w:eastAsia="zh-CN"/>
        </w:rPr>
        <w:t>辽宁</w:t>
      </w:r>
      <w:r>
        <w:rPr>
          <w:rFonts w:hint="eastAsia" w:ascii="方正小标宋简体" w:hAnsi="宋体" w:eastAsia="方正小标宋简体" w:cs="宋体"/>
          <w:color w:val="000000"/>
          <w:sz w:val="44"/>
          <w:szCs w:val="44"/>
          <w:highlight w:val="none"/>
        </w:rPr>
        <w:t>省商务厅行政执法事项清单（202</w:t>
      </w:r>
      <w:r>
        <w:rPr>
          <w:rFonts w:hint="eastAsia" w:ascii="方正小标宋简体" w:hAnsi="宋体" w:eastAsia="方正小标宋简体" w:cs="宋体"/>
          <w:color w:val="000000"/>
          <w:sz w:val="44"/>
          <w:szCs w:val="44"/>
          <w:highlight w:val="none"/>
          <w:lang w:val="en-US" w:eastAsia="zh-CN"/>
        </w:rPr>
        <w:t>4</w:t>
      </w:r>
      <w:r>
        <w:rPr>
          <w:rFonts w:hint="eastAsia" w:ascii="方正小标宋简体" w:hAnsi="宋体" w:eastAsia="方正小标宋简体" w:cs="宋体"/>
          <w:color w:val="000000"/>
          <w:sz w:val="44"/>
          <w:szCs w:val="44"/>
          <w:highlight w:val="none"/>
        </w:rPr>
        <w:t>年版）</w:t>
      </w:r>
    </w:p>
    <w:p>
      <w:pPr>
        <w:widowControl w:val="0"/>
        <w:adjustRightInd w:val="0"/>
        <w:spacing w:line="580" w:lineRule="exact"/>
        <w:rPr>
          <w:rFonts w:ascii="宋体" w:hAnsi="宋体" w:eastAsia="宋体" w:cs="宋体"/>
          <w:color w:val="000000"/>
          <w:sz w:val="44"/>
          <w:szCs w:val="44"/>
          <w:highlight w:val="none"/>
        </w:rPr>
      </w:pPr>
      <w:r>
        <w:rPr>
          <w:rFonts w:hint="eastAsia" w:ascii="宋体" w:hAnsi="宋体" w:eastAsia="宋体" w:cs="宋体"/>
          <w:color w:val="000000"/>
          <w:sz w:val="28"/>
          <w:szCs w:val="28"/>
          <w:highlight w:val="none"/>
        </w:rPr>
        <w:t>填报单位：（公章）</w:t>
      </w:r>
    </w:p>
    <w:tbl>
      <w:tblPr>
        <w:tblStyle w:val="16"/>
        <w:tblW w:w="14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675"/>
        <w:gridCol w:w="524"/>
        <w:gridCol w:w="660"/>
        <w:gridCol w:w="795"/>
        <w:gridCol w:w="3232"/>
        <w:gridCol w:w="2423"/>
        <w:gridCol w:w="420"/>
        <w:gridCol w:w="2730"/>
        <w:gridCol w:w="390"/>
        <w:gridCol w:w="390"/>
        <w:gridCol w:w="960"/>
        <w:gridCol w:w="345"/>
        <w:gridCol w:w="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450"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序号</w:t>
            </w:r>
          </w:p>
        </w:tc>
        <w:tc>
          <w:tcPr>
            <w:tcW w:w="675"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项目</w:t>
            </w:r>
            <w:r>
              <w:rPr>
                <w:rFonts w:eastAsiaTheme="minorEastAsia"/>
                <w:b/>
                <w:bCs/>
                <w:color w:val="auto"/>
                <w:sz w:val="21"/>
                <w:szCs w:val="21"/>
                <w:highlight w:val="none"/>
              </w:rPr>
              <w:br w:type="textWrapping"/>
            </w:r>
            <w:r>
              <w:rPr>
                <w:rFonts w:eastAsiaTheme="minorEastAsia"/>
                <w:b/>
                <w:bCs/>
                <w:color w:val="auto"/>
                <w:sz w:val="21"/>
                <w:szCs w:val="21"/>
                <w:highlight w:val="none"/>
              </w:rPr>
              <w:t>名称</w:t>
            </w:r>
          </w:p>
        </w:tc>
        <w:tc>
          <w:tcPr>
            <w:tcW w:w="524"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执法类别</w:t>
            </w:r>
          </w:p>
        </w:tc>
        <w:tc>
          <w:tcPr>
            <w:tcW w:w="660"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执法主体</w:t>
            </w:r>
          </w:p>
        </w:tc>
        <w:tc>
          <w:tcPr>
            <w:tcW w:w="795"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承办</w:t>
            </w:r>
            <w:r>
              <w:rPr>
                <w:rFonts w:eastAsiaTheme="minorEastAsia"/>
                <w:b/>
                <w:bCs/>
                <w:color w:val="auto"/>
                <w:sz w:val="21"/>
                <w:szCs w:val="21"/>
                <w:highlight w:val="none"/>
              </w:rPr>
              <w:br w:type="textWrapping"/>
            </w:r>
            <w:r>
              <w:rPr>
                <w:rFonts w:eastAsiaTheme="minorEastAsia"/>
                <w:b/>
                <w:bCs/>
                <w:color w:val="auto"/>
                <w:sz w:val="21"/>
                <w:szCs w:val="21"/>
                <w:highlight w:val="none"/>
              </w:rPr>
              <w:t>机构</w:t>
            </w:r>
          </w:p>
        </w:tc>
        <w:tc>
          <w:tcPr>
            <w:tcW w:w="9195" w:type="dxa"/>
            <w:gridSpan w:val="5"/>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执法依据</w:t>
            </w:r>
          </w:p>
        </w:tc>
        <w:tc>
          <w:tcPr>
            <w:tcW w:w="390"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实施</w:t>
            </w:r>
            <w:r>
              <w:rPr>
                <w:rFonts w:eastAsiaTheme="minorEastAsia"/>
                <w:b/>
                <w:bCs/>
                <w:color w:val="auto"/>
                <w:sz w:val="21"/>
                <w:szCs w:val="21"/>
                <w:highlight w:val="none"/>
              </w:rPr>
              <w:br w:type="textWrapping"/>
            </w:r>
            <w:r>
              <w:rPr>
                <w:rFonts w:eastAsiaTheme="minorEastAsia"/>
                <w:b/>
                <w:bCs/>
                <w:color w:val="auto"/>
                <w:sz w:val="21"/>
                <w:szCs w:val="21"/>
                <w:highlight w:val="none"/>
              </w:rPr>
              <w:t>对象</w:t>
            </w:r>
          </w:p>
        </w:tc>
        <w:tc>
          <w:tcPr>
            <w:tcW w:w="960"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办理</w:t>
            </w:r>
            <w:r>
              <w:rPr>
                <w:rFonts w:eastAsiaTheme="minorEastAsia"/>
                <w:b/>
                <w:bCs/>
                <w:color w:val="auto"/>
                <w:sz w:val="21"/>
                <w:szCs w:val="21"/>
                <w:highlight w:val="none"/>
              </w:rPr>
              <w:br w:type="textWrapping"/>
            </w:r>
            <w:r>
              <w:rPr>
                <w:rFonts w:eastAsiaTheme="minorEastAsia"/>
                <w:b/>
                <w:bCs/>
                <w:color w:val="auto"/>
                <w:sz w:val="21"/>
                <w:szCs w:val="21"/>
                <w:highlight w:val="none"/>
              </w:rPr>
              <w:t>时限</w:t>
            </w:r>
          </w:p>
        </w:tc>
        <w:tc>
          <w:tcPr>
            <w:tcW w:w="345" w:type="dxa"/>
            <w:vMerge w:val="restart"/>
            <w:shd w:val="clear" w:color="auto" w:fill="auto"/>
            <w:vAlign w:val="center"/>
          </w:tcPr>
          <w:p>
            <w:pPr>
              <w:adjustRightInd w:val="0"/>
              <w:snapToGrid w:val="0"/>
              <w:jc w:val="both"/>
              <w:rPr>
                <w:rFonts w:eastAsiaTheme="minorEastAsia"/>
                <w:b/>
                <w:bCs/>
                <w:color w:val="auto"/>
                <w:sz w:val="21"/>
                <w:szCs w:val="21"/>
                <w:highlight w:val="none"/>
              </w:rPr>
            </w:pPr>
            <w:r>
              <w:rPr>
                <w:rFonts w:eastAsiaTheme="minorEastAsia"/>
                <w:b/>
                <w:bCs/>
                <w:color w:val="auto"/>
                <w:sz w:val="21"/>
                <w:szCs w:val="21"/>
                <w:highlight w:val="none"/>
              </w:rPr>
              <w:t>收费依据标准</w:t>
            </w:r>
          </w:p>
        </w:tc>
        <w:tc>
          <w:tcPr>
            <w:tcW w:w="344" w:type="dxa"/>
            <w:vMerge w:val="restart"/>
            <w:shd w:val="clear" w:color="auto" w:fill="auto"/>
            <w:vAlign w:val="center"/>
          </w:tcPr>
          <w:p>
            <w:pPr>
              <w:adjustRightInd w:val="0"/>
              <w:snapToGrid w:val="0"/>
              <w:jc w:val="center"/>
              <w:rPr>
                <w:rFonts w:eastAsiaTheme="minorEastAsia"/>
                <w:b/>
                <w:bCs/>
                <w:color w:val="auto"/>
                <w:sz w:val="21"/>
                <w:szCs w:val="21"/>
                <w:highlight w:val="none"/>
              </w:rPr>
            </w:pPr>
            <w:r>
              <w:rPr>
                <w:rFonts w:hint="eastAsia" w:eastAsiaTheme="minor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450" w:type="dxa"/>
            <w:vMerge w:val="continue"/>
            <w:vAlign w:val="center"/>
          </w:tcPr>
          <w:p>
            <w:pPr>
              <w:adjustRightInd w:val="0"/>
              <w:snapToGrid w:val="0"/>
              <w:jc w:val="center"/>
              <w:rPr>
                <w:rFonts w:eastAsiaTheme="minorEastAsia"/>
                <w:color w:val="auto"/>
                <w:sz w:val="21"/>
                <w:szCs w:val="21"/>
                <w:highlight w:val="none"/>
              </w:rPr>
            </w:pPr>
          </w:p>
        </w:tc>
        <w:tc>
          <w:tcPr>
            <w:tcW w:w="675" w:type="dxa"/>
            <w:vMerge w:val="continue"/>
            <w:vAlign w:val="center"/>
          </w:tcPr>
          <w:p>
            <w:pPr>
              <w:adjustRightInd w:val="0"/>
              <w:snapToGrid w:val="0"/>
              <w:jc w:val="center"/>
              <w:rPr>
                <w:rFonts w:eastAsiaTheme="minorEastAsia"/>
                <w:color w:val="auto"/>
                <w:sz w:val="21"/>
                <w:szCs w:val="21"/>
                <w:highlight w:val="none"/>
              </w:rPr>
            </w:pPr>
          </w:p>
        </w:tc>
        <w:tc>
          <w:tcPr>
            <w:tcW w:w="524" w:type="dxa"/>
            <w:vMerge w:val="continue"/>
            <w:vAlign w:val="center"/>
          </w:tcPr>
          <w:p>
            <w:pPr>
              <w:adjustRightInd w:val="0"/>
              <w:snapToGrid w:val="0"/>
              <w:jc w:val="center"/>
              <w:rPr>
                <w:rFonts w:eastAsiaTheme="minorEastAsia"/>
                <w:color w:val="auto"/>
                <w:sz w:val="21"/>
                <w:szCs w:val="21"/>
                <w:highlight w:val="none"/>
              </w:rPr>
            </w:pPr>
          </w:p>
        </w:tc>
        <w:tc>
          <w:tcPr>
            <w:tcW w:w="660" w:type="dxa"/>
            <w:vMerge w:val="continue"/>
            <w:vAlign w:val="center"/>
          </w:tcPr>
          <w:p>
            <w:pPr>
              <w:adjustRightInd w:val="0"/>
              <w:snapToGrid w:val="0"/>
              <w:jc w:val="center"/>
              <w:rPr>
                <w:rFonts w:eastAsiaTheme="minorEastAsia"/>
                <w:color w:val="auto"/>
                <w:sz w:val="21"/>
                <w:szCs w:val="21"/>
                <w:highlight w:val="none"/>
              </w:rPr>
            </w:pPr>
          </w:p>
        </w:tc>
        <w:tc>
          <w:tcPr>
            <w:tcW w:w="795" w:type="dxa"/>
            <w:vMerge w:val="continue"/>
            <w:vAlign w:val="center"/>
          </w:tcPr>
          <w:p>
            <w:pPr>
              <w:adjustRightInd w:val="0"/>
              <w:snapToGrid w:val="0"/>
              <w:jc w:val="center"/>
              <w:rPr>
                <w:rFonts w:eastAsiaTheme="minorEastAsia"/>
                <w:color w:val="auto"/>
                <w:sz w:val="21"/>
                <w:szCs w:val="21"/>
                <w:highlight w:val="none"/>
              </w:rPr>
            </w:pPr>
          </w:p>
        </w:tc>
        <w:tc>
          <w:tcPr>
            <w:tcW w:w="3232" w:type="dxa"/>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法律</w:t>
            </w:r>
          </w:p>
        </w:tc>
        <w:tc>
          <w:tcPr>
            <w:tcW w:w="2423" w:type="dxa"/>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行政</w:t>
            </w:r>
            <w:r>
              <w:rPr>
                <w:rFonts w:eastAsiaTheme="minorEastAsia"/>
                <w:b/>
                <w:bCs/>
                <w:color w:val="auto"/>
                <w:sz w:val="21"/>
                <w:szCs w:val="21"/>
                <w:highlight w:val="none"/>
              </w:rPr>
              <w:br w:type="textWrapping"/>
            </w:r>
            <w:r>
              <w:rPr>
                <w:rFonts w:eastAsiaTheme="minorEastAsia"/>
                <w:b/>
                <w:bCs/>
                <w:color w:val="auto"/>
                <w:sz w:val="21"/>
                <w:szCs w:val="21"/>
                <w:highlight w:val="none"/>
              </w:rPr>
              <w:t>法规</w:t>
            </w:r>
          </w:p>
        </w:tc>
        <w:tc>
          <w:tcPr>
            <w:tcW w:w="420" w:type="dxa"/>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地方</w:t>
            </w:r>
            <w:r>
              <w:rPr>
                <w:rFonts w:eastAsiaTheme="minorEastAsia"/>
                <w:b/>
                <w:bCs/>
                <w:color w:val="auto"/>
                <w:sz w:val="21"/>
                <w:szCs w:val="21"/>
                <w:highlight w:val="none"/>
              </w:rPr>
              <w:br w:type="textWrapping"/>
            </w:r>
            <w:r>
              <w:rPr>
                <w:rFonts w:eastAsiaTheme="minorEastAsia"/>
                <w:b/>
                <w:bCs/>
                <w:color w:val="auto"/>
                <w:sz w:val="21"/>
                <w:szCs w:val="21"/>
                <w:highlight w:val="none"/>
              </w:rPr>
              <w:t>性法规</w:t>
            </w:r>
          </w:p>
        </w:tc>
        <w:tc>
          <w:tcPr>
            <w:tcW w:w="2730" w:type="dxa"/>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部委</w:t>
            </w:r>
            <w:r>
              <w:rPr>
                <w:rFonts w:eastAsiaTheme="minorEastAsia"/>
                <w:b/>
                <w:bCs/>
                <w:color w:val="auto"/>
                <w:sz w:val="21"/>
                <w:szCs w:val="21"/>
                <w:highlight w:val="none"/>
              </w:rPr>
              <w:br w:type="textWrapping"/>
            </w:r>
            <w:r>
              <w:rPr>
                <w:rFonts w:eastAsiaTheme="minorEastAsia"/>
                <w:b/>
                <w:bCs/>
                <w:color w:val="auto"/>
                <w:sz w:val="21"/>
                <w:szCs w:val="21"/>
                <w:highlight w:val="none"/>
              </w:rPr>
              <w:t>规章</w:t>
            </w:r>
          </w:p>
        </w:tc>
        <w:tc>
          <w:tcPr>
            <w:tcW w:w="390" w:type="dxa"/>
            <w:shd w:val="clear" w:color="auto" w:fill="auto"/>
            <w:vAlign w:val="center"/>
          </w:tcPr>
          <w:p>
            <w:pPr>
              <w:adjustRightInd w:val="0"/>
              <w:snapToGrid w:val="0"/>
              <w:jc w:val="center"/>
              <w:rPr>
                <w:rFonts w:eastAsiaTheme="minorEastAsia"/>
                <w:b/>
                <w:bCs/>
                <w:color w:val="auto"/>
                <w:sz w:val="21"/>
                <w:szCs w:val="21"/>
                <w:highlight w:val="none"/>
              </w:rPr>
            </w:pPr>
            <w:r>
              <w:rPr>
                <w:rFonts w:eastAsiaTheme="minorEastAsia"/>
                <w:b/>
                <w:bCs/>
                <w:color w:val="auto"/>
                <w:sz w:val="21"/>
                <w:szCs w:val="21"/>
                <w:highlight w:val="none"/>
              </w:rPr>
              <w:t>政府</w:t>
            </w:r>
            <w:r>
              <w:rPr>
                <w:rFonts w:eastAsiaTheme="minorEastAsia"/>
                <w:b/>
                <w:bCs/>
                <w:color w:val="auto"/>
                <w:sz w:val="21"/>
                <w:szCs w:val="21"/>
                <w:highlight w:val="none"/>
              </w:rPr>
              <w:br w:type="textWrapping"/>
            </w:r>
            <w:r>
              <w:rPr>
                <w:rFonts w:eastAsiaTheme="minorEastAsia"/>
                <w:b/>
                <w:bCs/>
                <w:color w:val="auto"/>
                <w:sz w:val="21"/>
                <w:szCs w:val="21"/>
                <w:highlight w:val="none"/>
              </w:rPr>
              <w:t>规章</w:t>
            </w:r>
          </w:p>
        </w:tc>
        <w:tc>
          <w:tcPr>
            <w:tcW w:w="390" w:type="dxa"/>
            <w:vMerge w:val="continue"/>
            <w:vAlign w:val="center"/>
          </w:tcPr>
          <w:p>
            <w:pPr>
              <w:adjustRightInd w:val="0"/>
              <w:snapToGrid w:val="0"/>
              <w:jc w:val="center"/>
              <w:rPr>
                <w:rFonts w:eastAsiaTheme="minorEastAsia"/>
                <w:color w:val="auto"/>
                <w:sz w:val="21"/>
                <w:szCs w:val="21"/>
                <w:highlight w:val="none"/>
              </w:rPr>
            </w:pPr>
          </w:p>
        </w:tc>
        <w:tc>
          <w:tcPr>
            <w:tcW w:w="960" w:type="dxa"/>
            <w:vMerge w:val="continue"/>
            <w:vAlign w:val="center"/>
          </w:tcPr>
          <w:p>
            <w:pPr>
              <w:adjustRightInd w:val="0"/>
              <w:snapToGrid w:val="0"/>
              <w:jc w:val="center"/>
              <w:rPr>
                <w:rFonts w:eastAsiaTheme="minorEastAsia"/>
                <w:color w:val="auto"/>
                <w:sz w:val="21"/>
                <w:szCs w:val="21"/>
                <w:highlight w:val="none"/>
              </w:rPr>
            </w:pPr>
          </w:p>
        </w:tc>
        <w:tc>
          <w:tcPr>
            <w:tcW w:w="345" w:type="dxa"/>
            <w:vMerge w:val="continue"/>
            <w:vAlign w:val="center"/>
          </w:tcPr>
          <w:p>
            <w:pPr>
              <w:adjustRightInd w:val="0"/>
              <w:snapToGrid w:val="0"/>
              <w:jc w:val="both"/>
              <w:rPr>
                <w:rFonts w:eastAsiaTheme="minorEastAsia"/>
                <w:color w:val="auto"/>
                <w:sz w:val="21"/>
                <w:szCs w:val="21"/>
                <w:highlight w:val="none"/>
              </w:rPr>
            </w:pPr>
          </w:p>
        </w:tc>
        <w:tc>
          <w:tcPr>
            <w:tcW w:w="344" w:type="dxa"/>
            <w:vMerge w:val="continue"/>
            <w:vAlign w:val="center"/>
          </w:tcPr>
          <w:p>
            <w:pPr>
              <w:adjustRightInd w:val="0"/>
              <w:snapToGrid w:val="0"/>
              <w:jc w:val="center"/>
              <w:rPr>
                <w:rFonts w:eastAsia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从事拍卖业务许可</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行政许可</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辽宁省商务厅</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《中华人民共和国拍卖法》（1996年7月5日</w:t>
            </w:r>
            <w:r>
              <w:rPr>
                <w:rFonts w:hint="default" w:ascii="Times New Roman" w:hAnsi="Times New Roman" w:eastAsia="仿宋_GB2312" w:cs="Times New Roman"/>
                <w:color w:val="auto"/>
                <w:sz w:val="21"/>
                <w:szCs w:val="21"/>
                <w:highlight w:val="none"/>
                <w:lang w:eastAsia="zh-CN"/>
              </w:rPr>
              <w:t>通过，</w:t>
            </w:r>
            <w:r>
              <w:rPr>
                <w:rFonts w:hint="default" w:ascii="Times New Roman" w:hAnsi="Times New Roman" w:eastAsia="仿宋_GB2312" w:cs="Times New Roman"/>
                <w:color w:val="auto"/>
                <w:sz w:val="21"/>
                <w:szCs w:val="21"/>
                <w:highlight w:val="none"/>
              </w:rPr>
              <w:t>2015年4月24日</w:t>
            </w:r>
            <w:r>
              <w:rPr>
                <w:rFonts w:hint="default" w:ascii="Times New Roman" w:hAnsi="Times New Roman" w:eastAsia="仿宋_GB2312" w:cs="Times New Roman"/>
                <w:color w:val="auto"/>
                <w:sz w:val="21"/>
                <w:szCs w:val="21"/>
                <w:highlight w:val="none"/>
                <w:lang w:eastAsia="zh-CN"/>
              </w:rPr>
              <w:t>第二次修正。</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第十一条：企业取得从事拍卖业务的许可必须经所在地的省、自治区、直辖市人民政府负责管理拍卖业的部门审核批准。</w:t>
            </w: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《拍卖管理办法》第十</w:t>
            </w:r>
            <w:r>
              <w:rPr>
                <w:rFonts w:hint="default" w:ascii="Times New Roman" w:hAnsi="Times New Roman" w:eastAsia="仿宋_GB2312" w:cs="Times New Roman"/>
                <w:color w:val="auto"/>
                <w:sz w:val="21"/>
                <w:szCs w:val="21"/>
                <w:highlight w:val="none"/>
                <w:lang w:eastAsia="zh-CN"/>
              </w:rPr>
              <w:t>二</w:t>
            </w:r>
            <w:r>
              <w:rPr>
                <w:rFonts w:hint="default" w:ascii="Times New Roman" w:hAnsi="Times New Roman" w:eastAsia="仿宋_GB2312" w:cs="Times New Roman"/>
                <w:color w:val="auto"/>
                <w:sz w:val="21"/>
                <w:szCs w:val="21"/>
                <w:highlight w:val="none"/>
              </w:rPr>
              <w:t>条规定了企业及分公司申请取得从事拍卖业务的许可办理程序。</w:t>
            </w: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30日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（法定）</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（承诺）</w:t>
            </w: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2</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限制进出口技术进出口许可</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行政许可</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商务厅</w:t>
            </w:r>
            <w:r>
              <w:rPr>
                <w:rFonts w:hint="default" w:ascii="Times New Roman" w:hAnsi="Times New Roman" w:eastAsia="仿宋_GB2312" w:cs="Times New Roman"/>
                <w:color w:val="auto"/>
                <w:sz w:val="21"/>
                <w:szCs w:val="21"/>
                <w:highlight w:val="none"/>
                <w:lang w:eastAsia="zh-CN"/>
              </w:rPr>
              <w:t>；辽宁省商务厅会同辽宁省科技厅</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《中华人民共和国对外贸易法》（1994年5月12日通过，2022年12月30日</w:t>
            </w:r>
            <w:r>
              <w:rPr>
                <w:rFonts w:hint="default" w:ascii="Times New Roman" w:hAnsi="Times New Roman" w:eastAsia="仿宋_GB2312" w:cs="Times New Roman"/>
                <w:color w:val="auto"/>
                <w:sz w:val="21"/>
                <w:szCs w:val="21"/>
                <w:highlight w:val="none"/>
                <w:lang w:eastAsia="zh-CN"/>
              </w:rPr>
              <w:t>第二次修正。</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九条：国家对限制进口或者出口的货物，实行配额、许可证等方式管理；对限制进口或者出口的技术，实行许可证管理。实行配额、许可证管理的货物、技术，应当按照国务院规定经国务院对外贸易主管部门或者经其他部门许可，方可进口或者出口。</w:t>
            </w: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《中华人民共和国技术进出口管理条例》</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2001年12月10日</w:t>
            </w:r>
            <w:r>
              <w:rPr>
                <w:rFonts w:hint="default" w:ascii="Times New Roman" w:hAnsi="Times New Roman" w:eastAsia="仿宋_GB2312" w:cs="Times New Roman"/>
                <w:color w:val="auto"/>
                <w:sz w:val="21"/>
                <w:szCs w:val="21"/>
                <w:highlight w:val="none"/>
                <w:lang w:eastAsia="zh-CN"/>
              </w:rPr>
              <w:t>公布</w:t>
            </w:r>
            <w:r>
              <w:rPr>
                <w:rFonts w:hint="default" w:ascii="Times New Roman" w:hAnsi="Times New Roman" w:eastAsia="仿宋_GB2312" w:cs="Times New Roman"/>
                <w:color w:val="auto"/>
                <w:sz w:val="21"/>
                <w:szCs w:val="21"/>
                <w:highlight w:val="none"/>
              </w:rPr>
              <w:t>，</w:t>
            </w:r>
            <w:r>
              <w:rPr>
                <w:rFonts w:hint="default" w:ascii="Times New Roman" w:hAnsi="Times New Roman" w:eastAsia="仿宋_GB2312" w:cs="Times New Roman"/>
                <w:color w:val="auto"/>
                <w:sz w:val="21"/>
                <w:szCs w:val="21"/>
                <w:highlight w:val="none"/>
                <w:lang w:val="en-US" w:eastAsia="zh-CN"/>
              </w:rPr>
              <w:t>2020年11月29日第三次修订</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第六条：省、自治区、直辖市人民政府外经贸主管部门根据国务院外经贸主管部门的授权，负责本行政区域内的技术进出口管理工作。</w:t>
            </w: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30日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（法定）</w:t>
            </w: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报废机动车回收企业资质认定</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行政许可</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辽宁省商务厅</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《报废机动车回收管理办法》（国务院令2019年第715号）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五条：国家对报废机动车回收企业实行资质认定制度。未经资质认定，任何单位或者个人不得从事报废机动车回收活动。第七条：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《报废机动车回收管理办法实施细则》（商务部令2020年第2号）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第五条：省级商务主管部门负责实施报废机动车回收拆解企业资质认定工作。第十条：省级商务主管部门可以委托拆解经营场地所在地地（市）级商务主管部门对申请材料是否齐全、符合法定形式进行审核。</w:t>
            </w: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30日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（法定）</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10日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（承诺）</w:t>
            </w: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4</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易制毒化学品进出口许可</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行政许可</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辽宁省商务厅（受商务部委托）</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《中华人民共和国对外贸易法》（1994年5月12日通过，2022年12月30日</w:t>
            </w:r>
            <w:r>
              <w:rPr>
                <w:rFonts w:hint="default" w:ascii="Times New Roman" w:hAnsi="Times New Roman" w:eastAsia="仿宋_GB2312" w:cs="Times New Roman"/>
                <w:color w:val="auto"/>
                <w:sz w:val="21"/>
                <w:szCs w:val="21"/>
                <w:highlight w:val="none"/>
                <w:lang w:eastAsia="zh-CN"/>
              </w:rPr>
              <w:t>第二次修正。</w:t>
            </w:r>
            <w:r>
              <w:rPr>
                <w:rFonts w:hint="default" w:ascii="Times New Roman" w:hAnsi="Times New Roman" w:eastAsia="仿宋_GB2312"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九条：国家对限制进口或者出口的货物，实行配额、许可证等方式管理；对限制进口或者出口的技术，实行许可证管理。实行配额、许可证管理的货物、技术，应当按照国务院规定经国务院对外贸易主管部门或者经其他部门许可，方可进口或者出口。</w:t>
            </w: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《易制毒化学品管理条例》（2005年8月26日</w:t>
            </w:r>
            <w:r>
              <w:rPr>
                <w:rFonts w:hint="default" w:ascii="Times New Roman" w:hAnsi="Times New Roman" w:eastAsia="仿宋_GB2312" w:cs="Times New Roman"/>
                <w:color w:val="auto"/>
                <w:sz w:val="21"/>
                <w:szCs w:val="21"/>
                <w:highlight w:val="none"/>
                <w:lang w:eastAsia="zh-CN"/>
              </w:rPr>
              <w:t>公布</w:t>
            </w:r>
            <w:r>
              <w:rPr>
                <w:rFonts w:hint="default" w:ascii="Times New Roman" w:hAnsi="Times New Roman" w:eastAsia="仿宋_GB2312" w:cs="Times New Roman"/>
                <w:color w:val="auto"/>
                <w:sz w:val="21"/>
                <w:szCs w:val="21"/>
                <w:highlight w:val="none"/>
              </w:rPr>
              <w:t>，2018年9月18日第三次修订</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）第二十六条：申请进口或者出口易制毒化学品，应当提交下列材料，经国务院商务主管部门或者其委托的省、自治区、直辖市人民政府商务主管部门审批，取得进口或者出口许可证后，方可从事进口、出口活动</w:t>
            </w:r>
            <w:r>
              <w:rPr>
                <w:rFonts w:hint="default" w:ascii="Times New Roman" w:hAnsi="Times New Roman" w:eastAsia="仿宋_GB2312" w:cs="Times New Roman"/>
                <w:color w:val="auto"/>
                <w:sz w:val="21"/>
                <w:szCs w:val="21"/>
                <w:highlight w:val="none"/>
                <w:lang w:eastAsia="zh-CN"/>
              </w:rPr>
              <w:t>。</w:t>
            </w: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易制毒化学品进出口管理规定》（商务部令2006年第7号）第四条：各省、自治区、直辖市及计划单列市商务主管部门(以下统称省级商务主管部门)负责本地区易制毒化学品进出口管理工作。同时接受商务部委托负责本地区易制毒化学品进出口许可初审及部分易制毒化学品进出口许可工作。</w:t>
            </w: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20日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（法定）</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7日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（承诺）</w:t>
            </w: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大连除外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5</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限制进出口货物进出口许可</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行政许可</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辽宁省商务厅（受商务部委托）</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《中华人民共和国对外贸易法》（1994年5月12日通过，2022年12月30日</w:t>
            </w:r>
            <w:r>
              <w:rPr>
                <w:rFonts w:hint="default" w:ascii="Times New Roman" w:hAnsi="Times New Roman" w:eastAsia="仿宋_GB2312" w:cs="Times New Roman"/>
                <w:color w:val="auto"/>
                <w:sz w:val="21"/>
                <w:szCs w:val="21"/>
                <w:highlight w:val="none"/>
                <w:lang w:eastAsia="zh-CN"/>
              </w:rPr>
              <w:t>第二次修正。</w:t>
            </w:r>
            <w:r>
              <w:rPr>
                <w:rFonts w:hint="default" w:ascii="Times New Roman" w:hAnsi="Times New Roman" w:eastAsia="仿宋_GB2312" w:cs="Times New Roman"/>
                <w:color w:val="auto"/>
                <w:sz w:val="21"/>
                <w:szCs w:val="21"/>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务院对外贸易主管部门基于监测进出口情况的需要，可以对部分自由进出口的货物实行进出口自动许可并公布其目录。实行自动许可的进出口货物，收货人、发货人在办理海关报关手续前提出自动许可申请的，国务院对外贸易主管部门或者其委托的机构应当予以许可；未办理自动许可手续的，海关不予放行。</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第十六条 国家基于下列原因，可以限制或者禁止有关货物、技术的进口或者出口。</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第十八条 国务院对外贸易主管部门会同国务院其他有关部门，依照本法第十六条和第十七条的规定，制定、调整并公布限制或者禁止进出口的货物、技术目录。国务院对外贸易主管部门或者由其会同国务院其他有关部门，经国务院批准，可以在本法第十六条和第十七条规定的范围内，临时决定限制或者禁止前款规定目录以外的特定货物、技术的进口或者出口。第十九条 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 </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中华人民共和国行政许可法</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第十二条 下列事项可以设定行政许可。第二十二条 行政许可由具有行政许可权的行政机关在其法定职权范围内实施。</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第二十四条 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第四十一条 法律、行政法规设定的行政许可，其适用范围没有地域限制的，申请人取得的行政许可在全国范围内有效。第七十八条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《中华人民共和国货物进出口管理条例》（国务院令</w:t>
            </w:r>
            <w:r>
              <w:rPr>
                <w:rFonts w:hint="default" w:ascii="Times New Roman" w:hAnsi="Times New Roman" w:eastAsia="仿宋_GB2312" w:cs="Times New Roman"/>
                <w:color w:val="auto"/>
                <w:sz w:val="21"/>
                <w:szCs w:val="21"/>
                <w:highlight w:val="none"/>
                <w:lang w:val="en-US" w:eastAsia="zh-CN"/>
              </w:rPr>
              <w:t>2001年</w:t>
            </w:r>
            <w:r>
              <w:rPr>
                <w:rFonts w:hint="default" w:ascii="Times New Roman" w:hAnsi="Times New Roman" w:eastAsia="仿宋_GB2312" w:cs="Times New Roman"/>
                <w:color w:val="auto"/>
                <w:sz w:val="21"/>
                <w:szCs w:val="21"/>
                <w:highlight w:val="none"/>
              </w:rPr>
              <w:t>第332号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2002年1月1日起施行</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第三十六条　国家规定有数量限制的限制出口货物，实行配额管理；其他限制出口货物，实行许可证管理。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第四十三条 实行许可证管理的限制出口货物，出口经营者应当向国务院外经贸主管部门或者国务院有关部门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以下统称出口许可证管理部门</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提出申请，出口许可证管理部门应当自收到申请之日起30天内决定是否许可。</w:t>
            </w:r>
          </w:p>
          <w:p>
            <w:pPr>
              <w:keepNext w:val="0"/>
              <w:keepLines w:val="0"/>
              <w:pageBreakBefore w:val="0"/>
              <w:widowControl/>
              <w:numPr>
                <w:ilvl w:val="0"/>
                <w:numId w:val="2"/>
              </w:numPr>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第一款</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有对外贸易法第十六条第（一）、（四）、（五）、（六）、（七）项规定情形之一的货物，限制进口。其他法律、行政法规规定限制进口的，依照其规定。</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ind w:leftChars="0" w:right="0" w:right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第十一条第一款</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国家规定有数量限制的限制进口货物，实行配额管理；其他限制进口货物，实行许可证管理。</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ind w:leftChars="0" w:right="0" w:right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第十九条第一款</w:t>
            </w:r>
            <w:r>
              <w:rPr>
                <w:rFonts w:hint="default" w:ascii="Times New Roman" w:hAnsi="Times New Roman" w:eastAsia="仿宋_GB2312" w:cs="Times New Roman"/>
                <w:color w:val="auto"/>
                <w:sz w:val="21"/>
                <w:szCs w:val="21"/>
                <w:highlight w:val="none"/>
                <w:lang w:val="en-US" w:eastAsia="zh-CN"/>
              </w:rPr>
              <w:t xml:space="preserve"> </w:t>
            </w:r>
            <w:r>
              <w:rPr>
                <w:rFonts w:hint="default" w:ascii="Times New Roman" w:hAnsi="Times New Roman" w:eastAsia="仿宋_GB2312" w:cs="Times New Roman"/>
                <w:color w:val="auto"/>
                <w:sz w:val="21"/>
                <w:szCs w:val="21"/>
                <w:highlight w:val="none"/>
              </w:rPr>
              <w:t>实行许可证管理的限制进口货物，进口经营者应当向国务院外经贸主管部门或者国务院有关部门（以下统称进口许可证管理部门）提出申请。进口许可证管理部门应当自收到申请之日起30天内决定是否许可。</w:t>
            </w:r>
          </w:p>
          <w:p>
            <w:pPr>
              <w:keepNext w:val="0"/>
              <w:keepLines w:val="0"/>
              <w:pageBreakBefore w:val="0"/>
              <w:widowControl/>
              <w:numPr>
                <w:ilvl w:val="0"/>
                <w:numId w:val="0"/>
              </w:numPr>
              <w:kinsoku/>
              <w:wordWrap/>
              <w:overflowPunct/>
              <w:topLinePunct w:val="0"/>
              <w:autoSpaceDE/>
              <w:autoSpaceDN/>
              <w:bidi w:val="0"/>
              <w:adjustRightInd w:val="0"/>
              <w:snapToGrid w:val="0"/>
              <w:spacing w:line="260" w:lineRule="exact"/>
              <w:ind w:leftChars="0" w:right="0" w:right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第二十条 第一款 进口配额管理部门和进口许可证管理部门应当根据本条例的规定制定具体管理办法，对申请人的资格、受理申请的部门、审查的原则和程序等事项作出明确规定并在实施前予以公布。</w:t>
            </w: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《商务部关于修改〈进出口商品许可证发证机构管理办法〉的决定》（商务部令2010年第3号</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2010年9月12日公布施行</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rPr>
              <w:t xml:space="preserve">） 第三条　许可证局负责监督、检查、管理商务部驻各地特派员办事处（以下简称各特办）、各省、自治区、直辖市、计划单列市及部分省会城市外经贸委（厅、局）所属发证机构（以下简称各地方发证机构）的进出口商品许可证签发工作，并进行业务指导。 第十条 接受许可证局委托按照许可证管理商品发证目录签发部分进出口商品许可证。 第十五条 各发证机构应建立进出口商品许可证受理、审批、打印……等各项工作的岗位责任制。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《货物出口许可证管理办法》(商务部令2008年第11号） 第五条 许可证局及商务部驻各地特派员办事处和各省、自治区、直辖市、计划单列市以及商务部授权的其他省会城市商务厅（局）、外经贸委（厅、局）为出口许可证发证机构，在许可证局统一管理下，负责授权范围内的发证工作。</w:t>
            </w: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"http://www.mofcom.gov.cn/zfxxgk/article/xxyxgz/202112/20211203231081.shtml" \t "http://egov.mofcom.gov.cn/xzxksx/18008/_blank" </w:instrText>
            </w:r>
            <w:r>
              <w:rPr>
                <w:rFonts w:hint="default" w:ascii="Times New Roman" w:hAnsi="Times New Roman" w:eastAsia="仿宋_GB2312" w:cs="Times New Roman"/>
                <w:color w:val="auto"/>
                <w:sz w:val="21"/>
                <w:szCs w:val="21"/>
                <w:highlight w:val="none"/>
              </w:rPr>
              <w:fldChar w:fldCharType="separate"/>
            </w:r>
            <w:r>
              <w:rPr>
                <w:rStyle w:val="15"/>
                <w:rFonts w:hint="default" w:ascii="Times New Roman" w:hAnsi="Times New Roman" w:eastAsia="仿宋_GB2312" w:cs="Times New Roman"/>
                <w:color w:val="auto"/>
                <w:sz w:val="21"/>
                <w:szCs w:val="21"/>
                <w:highlight w:val="none"/>
                <w:u w:val="none"/>
              </w:rPr>
              <w:t>《重点旧机电产品进口管理办法》</w:t>
            </w:r>
            <w:r>
              <w:rPr>
                <w:rStyle w:val="15"/>
                <w:rFonts w:hint="default" w:ascii="Times New Roman" w:hAnsi="Times New Roman" w:eastAsia="仿宋_GB2312" w:cs="Times New Roman"/>
                <w:color w:val="auto"/>
                <w:sz w:val="21"/>
                <w:szCs w:val="21"/>
                <w:highlight w:val="none"/>
                <w:u w:val="none"/>
              </w:rPr>
              <w:fldChar w:fldCharType="end"/>
            </w:r>
            <w:r>
              <w:rPr>
                <w:rFonts w:hint="default" w:ascii="Times New Roman" w:hAnsi="Times New Roman" w:eastAsia="仿宋_GB2312" w:cs="Times New Roman"/>
                <w:color w:val="auto"/>
                <w:sz w:val="21"/>
                <w:szCs w:val="21"/>
                <w:highlight w:val="none"/>
              </w:rPr>
              <w:t>（商务部 海关总署 质检总局令2008年第5号）。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fldChar w:fldCharType="begin"/>
            </w:r>
            <w:r>
              <w:rPr>
                <w:rFonts w:hint="default" w:ascii="Times New Roman" w:hAnsi="Times New Roman" w:eastAsia="仿宋_GB2312" w:cs="Times New Roman"/>
                <w:color w:val="auto"/>
                <w:sz w:val="21"/>
                <w:szCs w:val="21"/>
                <w:highlight w:val="none"/>
              </w:rPr>
              <w:instrText xml:space="preserve"> HYPERLINK "http://www.mofcom.gov.cn/zfxxgk/article/xxyxgz/202112/20211203231070.shtml" \t "http://egov.mofcom.gov.cn/xzxksx/18008/_blank" </w:instrText>
            </w:r>
            <w:r>
              <w:rPr>
                <w:rFonts w:hint="default" w:ascii="Times New Roman" w:hAnsi="Times New Roman" w:eastAsia="仿宋_GB2312" w:cs="Times New Roman"/>
                <w:color w:val="auto"/>
                <w:sz w:val="21"/>
                <w:szCs w:val="21"/>
                <w:highlight w:val="none"/>
              </w:rPr>
              <w:fldChar w:fldCharType="separate"/>
            </w:r>
            <w:r>
              <w:rPr>
                <w:rStyle w:val="15"/>
                <w:rFonts w:hint="default" w:ascii="Times New Roman" w:hAnsi="Times New Roman" w:eastAsia="仿宋_GB2312" w:cs="Times New Roman"/>
                <w:color w:val="auto"/>
                <w:sz w:val="21"/>
                <w:szCs w:val="21"/>
                <w:highlight w:val="none"/>
                <w:u w:val="none"/>
              </w:rPr>
              <w:t>《货物进口许可证管理办法》</w:t>
            </w:r>
            <w:r>
              <w:rPr>
                <w:rStyle w:val="15"/>
                <w:rFonts w:hint="default" w:ascii="Times New Roman" w:hAnsi="Times New Roman" w:eastAsia="仿宋_GB2312" w:cs="Times New Roman"/>
                <w:color w:val="auto"/>
                <w:sz w:val="21"/>
                <w:szCs w:val="21"/>
                <w:highlight w:val="none"/>
                <w:u w:val="none"/>
              </w:rPr>
              <w:fldChar w:fldCharType="end"/>
            </w:r>
            <w:r>
              <w:rPr>
                <w:rFonts w:hint="default" w:ascii="Times New Roman" w:hAnsi="Times New Roman" w:eastAsia="仿宋_GB2312" w:cs="Times New Roman"/>
                <w:color w:val="auto"/>
                <w:sz w:val="21"/>
                <w:szCs w:val="21"/>
                <w:highlight w:val="none"/>
              </w:rPr>
              <w:t>（商务部令2004年第27号）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Style w:val="15"/>
                <w:rFonts w:hint="default" w:ascii="Times New Roman" w:hAnsi="Times New Roman" w:eastAsia="仿宋_GB2312" w:cs="Times New Roman"/>
                <w:color w:val="auto"/>
                <w:sz w:val="21"/>
                <w:szCs w:val="21"/>
                <w:highlight w:val="none"/>
                <w:u w:val="none"/>
              </w:rPr>
            </w:pPr>
            <w:r>
              <w:rPr>
                <w:rFonts w:hint="default" w:ascii="Times New Roman" w:hAnsi="Times New Roman" w:eastAsia="仿宋_GB2312" w:cs="Times New Roman"/>
                <w:color w:val="auto"/>
                <w:sz w:val="21"/>
                <w:szCs w:val="21"/>
                <w:highlight w:val="none"/>
              </w:rPr>
              <w:t>《</w:t>
            </w:r>
            <w:r>
              <w:rPr>
                <w:rStyle w:val="15"/>
                <w:rFonts w:hint="default" w:ascii="Times New Roman" w:hAnsi="Times New Roman" w:eastAsia="仿宋_GB2312" w:cs="Times New Roman"/>
                <w:color w:val="auto"/>
                <w:sz w:val="21"/>
                <w:szCs w:val="21"/>
                <w:highlight w:val="none"/>
                <w:u w:val="none"/>
              </w:rPr>
              <w:fldChar w:fldCharType="begin"/>
            </w:r>
            <w:r>
              <w:rPr>
                <w:rStyle w:val="15"/>
                <w:rFonts w:hint="default" w:ascii="Times New Roman" w:hAnsi="Times New Roman" w:eastAsia="仿宋_GB2312" w:cs="Times New Roman"/>
                <w:color w:val="auto"/>
                <w:sz w:val="21"/>
                <w:szCs w:val="21"/>
                <w:highlight w:val="none"/>
                <w:u w:val="none"/>
              </w:rPr>
              <w:instrText xml:space="preserve"> HYPERLINK "http://www.mofcom.gov.cn/article/b/fwzl/201811/20181102804608.shtml" \t "http://egov.mofcom.gov.cn/xzxksx/18008/_blank" </w:instrText>
            </w:r>
            <w:r>
              <w:rPr>
                <w:rStyle w:val="15"/>
                <w:rFonts w:hint="default" w:ascii="Times New Roman" w:hAnsi="Times New Roman" w:eastAsia="仿宋_GB2312" w:cs="Times New Roman"/>
                <w:color w:val="auto"/>
                <w:sz w:val="21"/>
                <w:szCs w:val="21"/>
                <w:highlight w:val="none"/>
                <w:u w:val="none"/>
              </w:rPr>
              <w:fldChar w:fldCharType="separate"/>
            </w:r>
            <w:r>
              <w:rPr>
                <w:rStyle w:val="15"/>
                <w:rFonts w:hint="default" w:ascii="Times New Roman" w:hAnsi="Times New Roman" w:eastAsia="仿宋_GB2312" w:cs="Times New Roman"/>
                <w:color w:val="auto"/>
                <w:sz w:val="21"/>
                <w:szCs w:val="21"/>
                <w:highlight w:val="none"/>
                <w:u w:val="none"/>
              </w:rPr>
              <w:t>商务部关于修改部分规章的决定</w:t>
            </w:r>
            <w:r>
              <w:rPr>
                <w:rStyle w:val="15"/>
                <w:rFonts w:hint="default" w:ascii="Times New Roman" w:hAnsi="Times New Roman" w:eastAsia="仿宋_GB2312" w:cs="Times New Roman"/>
                <w:color w:val="auto"/>
                <w:sz w:val="21"/>
                <w:szCs w:val="21"/>
                <w:highlight w:val="none"/>
                <w:u w:val="none"/>
              </w:rPr>
              <w:fldChar w:fldCharType="end"/>
            </w:r>
            <w:r>
              <w:rPr>
                <w:rStyle w:val="15"/>
                <w:rFonts w:hint="default" w:ascii="Times New Roman" w:hAnsi="Times New Roman" w:eastAsia="仿宋_GB2312" w:cs="Times New Roman"/>
                <w:color w:val="auto"/>
                <w:sz w:val="21"/>
                <w:szCs w:val="21"/>
                <w:highlight w:val="none"/>
                <w:u w:val="none"/>
              </w:rPr>
              <w:t xml:space="preserve">》（商务部令2018年第7号）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210" w:firstLineChars="100"/>
              <w:jc w:val="left"/>
              <w:textAlignment w:val="auto"/>
              <w:outlineLvl w:val="9"/>
              <w:rPr>
                <w:rFonts w:hint="default" w:ascii="Times New Roman" w:hAnsi="Times New Roman" w:eastAsia="仿宋_GB2312" w:cs="Times New Roman"/>
                <w:color w:val="auto"/>
                <w:sz w:val="21"/>
                <w:szCs w:val="21"/>
                <w:highlight w:val="none"/>
                <w:lang w:eastAsia="zh-CN"/>
              </w:rPr>
            </w:pP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30日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（法定）</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出口</w:t>
            </w:r>
            <w:r>
              <w:rPr>
                <w:rFonts w:hint="default" w:ascii="Times New Roman" w:hAnsi="Times New Roman" w:eastAsia="仿宋_GB2312" w:cs="Times New Roman"/>
                <w:color w:val="auto"/>
                <w:sz w:val="21"/>
                <w:szCs w:val="21"/>
                <w:highlight w:val="none"/>
              </w:rPr>
              <w:t>3日</w:t>
            </w:r>
            <w:r>
              <w:rPr>
                <w:rFonts w:hint="default" w:ascii="Times New Roman" w:hAnsi="Times New Roman" w:eastAsia="仿宋_GB2312" w:cs="Times New Roman"/>
                <w:color w:val="auto"/>
                <w:sz w:val="21"/>
                <w:szCs w:val="21"/>
                <w:highlight w:val="none"/>
                <w:lang w:eastAsia="zh-CN"/>
              </w:rPr>
              <w:t>、进口</w:t>
            </w:r>
            <w:r>
              <w:rPr>
                <w:rFonts w:hint="default" w:ascii="Times New Roman" w:hAnsi="Times New Roman" w:eastAsia="仿宋_GB2312" w:cs="Times New Roman"/>
                <w:color w:val="auto"/>
                <w:sz w:val="21"/>
                <w:szCs w:val="21"/>
                <w:highlight w:val="none"/>
                <w:lang w:val="en-US" w:eastAsia="zh-CN"/>
              </w:rPr>
              <w:t>8日</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（承诺）</w:t>
            </w: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大连、沈阳除外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45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6</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国际货运代理企业备案登记</w:t>
            </w:r>
          </w:p>
        </w:tc>
        <w:tc>
          <w:tcPr>
            <w:tcW w:w="52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行政确认</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辽宁省商务厅（受商务部委托）</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行政审批处</w:t>
            </w:r>
            <w:r>
              <w:rPr>
                <w:rFonts w:hint="default" w:ascii="Times New Roman" w:hAnsi="Times New Roman" w:eastAsia="仿宋_GB2312" w:cs="Times New Roman"/>
                <w:color w:val="auto"/>
                <w:sz w:val="21"/>
                <w:szCs w:val="21"/>
                <w:highlight w:val="none"/>
                <w:lang w:eastAsia="zh-CN"/>
              </w:rPr>
              <w:t>（政策法规处）</w:t>
            </w:r>
          </w:p>
        </w:tc>
        <w:tc>
          <w:tcPr>
            <w:tcW w:w="3232"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《中华人民共和国对外贸易法》（1994年5月12日通过，2022年12月30日</w:t>
            </w:r>
            <w:r>
              <w:rPr>
                <w:rFonts w:hint="default" w:ascii="Times New Roman" w:hAnsi="Times New Roman" w:eastAsia="仿宋_GB2312" w:cs="Times New Roman"/>
                <w:color w:val="auto"/>
                <w:sz w:val="21"/>
                <w:szCs w:val="21"/>
                <w:highlight w:val="none"/>
                <w:lang w:eastAsia="zh-CN"/>
              </w:rPr>
              <w:t>第二次修正。</w:t>
            </w:r>
            <w:r>
              <w:rPr>
                <w:rFonts w:hint="default" w:ascii="Times New Roman" w:hAnsi="Times New Roman" w:eastAsia="仿宋_GB2312" w:cs="Times New Roman"/>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第九条 从事货物进出口或者技术进出口的对外贸易经营者，应当向国务院对外贸易主管部门或者其委托的机构办理备案登记。对外贸易经营者未按照规定办理备案登记的，海关不予办理进出口货物的报关验放手续。 </w:t>
            </w:r>
          </w:p>
        </w:tc>
        <w:tc>
          <w:tcPr>
            <w:tcW w:w="242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42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p>
        </w:tc>
        <w:tc>
          <w:tcPr>
            <w:tcW w:w="273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《中华人民共和国国际货物运输代理业管理规定》（原对外贸易经济合作部令1995年第5号）</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 xml:space="preserve">第四条 国务院对外贸易经济合作主管部门负责对全国的国际货物运输代理业实施监督管理。省、自治区、直辖市和经济特区的人民政府对外经济贸易主管部门（以下简称地方对外贸易主管部门）依照本规定，在国务院对外贸易经济合作主管部门授权的范围内，负责对本行政区域内的国际货物运输代理业实施监督管理。  </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《国际货运代理企业备案（暂行）办法》（商务部令2005年第9号）  第四条　国际货代企业备案工作实行全国联网和属地化管理。</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商务部委托符合条件的地方商务主管部门（以下简称备案机关）负责办理本地区国际货代企业备案手续；受委托的备案机关不得自行委托其他机构进行备案。备案机关凭商务部的书面委托函和备案印章，通过信息管理系统办理备案手续。</w:t>
            </w:r>
            <w:r>
              <w:rPr>
                <w:rFonts w:hint="default" w:ascii="Times New Roman" w:hAnsi="Times New Roman" w:eastAsia="仿宋_GB2312" w:cs="Times New Roman"/>
                <w:color w:val="auto"/>
                <w:sz w:val="21"/>
                <w:szCs w:val="21"/>
                <w:highlight w:val="none"/>
                <w:lang w:val="en-US" w:eastAsia="zh-CN"/>
              </w:rPr>
              <w:t>第六条　备案机关应自收到国际货代企业提交的上述材料之日起5日内办理备案手续，在《备案表》上加盖备案印章。</w:t>
            </w:r>
          </w:p>
        </w:tc>
        <w:tc>
          <w:tcPr>
            <w:tcW w:w="390"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9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法人</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rPr>
              <w:t>5日</w:t>
            </w:r>
            <w:r>
              <w:rPr>
                <w:rFonts w:hint="default" w:ascii="Times New Roman" w:hAnsi="Times New Roman" w:eastAsia="仿宋_GB2312" w:cs="Times New Roman"/>
                <w:color w:val="auto"/>
                <w:sz w:val="21"/>
                <w:szCs w:val="21"/>
                <w:highlight w:val="none"/>
                <w:lang w:eastAsia="zh-CN"/>
              </w:rPr>
              <w:t>（</w:t>
            </w:r>
            <w:r>
              <w:rPr>
                <w:rFonts w:hint="default" w:ascii="Times New Roman" w:hAnsi="Times New Roman" w:eastAsia="仿宋_GB2312" w:cs="Times New Roman"/>
                <w:color w:val="auto"/>
                <w:sz w:val="21"/>
                <w:szCs w:val="21"/>
                <w:highlight w:val="none"/>
                <w:lang w:val="en-US" w:eastAsia="zh-CN"/>
              </w:rPr>
              <w:t>法定</w:t>
            </w:r>
            <w:r>
              <w:rPr>
                <w:rFonts w:hint="default" w:ascii="Times New Roman" w:hAnsi="Times New Roman" w:eastAsia="仿宋_GB2312" w:cs="Times New Roman"/>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3日（承诺）</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p>
        </w:tc>
        <w:tc>
          <w:tcPr>
            <w:tcW w:w="34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w:t>不收费</w:t>
            </w:r>
          </w:p>
        </w:tc>
        <w:tc>
          <w:tcPr>
            <w:tcW w:w="344" w:type="dxa"/>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大连、沈阳除外</w:t>
            </w:r>
          </w:p>
        </w:tc>
      </w:tr>
    </w:tbl>
    <w:p>
      <w:pPr>
        <w:widowControl w:val="0"/>
        <w:adjustRightInd w:val="0"/>
        <w:rPr>
          <w:rFonts w:ascii="宋体" w:hAnsi="宋体" w:eastAsia="宋体"/>
          <w:szCs w:val="32"/>
          <w:highlight w:val="none"/>
        </w:rPr>
      </w:pPr>
      <w:r>
        <w:rPr>
          <w:rFonts w:ascii="宋体" w:hAnsi="宋体" w:eastAsia="宋体"/>
          <w:sz w:val="24"/>
          <w:szCs w:val="24"/>
          <w:highlight w:val="none"/>
        </w:rPr>
        <w:t>填表人：</w:t>
      </w:r>
      <w:r>
        <w:rPr>
          <w:rFonts w:hint="eastAsia" w:ascii="宋体" w:hAnsi="宋体" w:eastAsia="宋体"/>
          <w:sz w:val="24"/>
          <w:szCs w:val="24"/>
          <w:highlight w:val="none"/>
          <w:lang w:eastAsia="zh-CN"/>
        </w:rPr>
        <w:t>崔艳红</w:t>
      </w:r>
      <w:r>
        <w:rPr>
          <w:rFonts w:hint="eastAsia" w:ascii="宋体" w:hAnsi="宋体" w:eastAsia="宋体"/>
          <w:sz w:val="24"/>
          <w:szCs w:val="24"/>
          <w:highlight w:val="none"/>
        </w:rPr>
        <w:t xml:space="preserve">                       </w:t>
      </w:r>
      <w:bookmarkStart w:id="0" w:name="_GoBack"/>
      <w:bookmarkEnd w:id="0"/>
      <w:r>
        <w:rPr>
          <w:rFonts w:hint="eastAsia" w:ascii="宋体" w:hAnsi="宋体" w:eastAsia="宋体"/>
          <w:sz w:val="24"/>
          <w:szCs w:val="24"/>
          <w:highlight w:val="none"/>
        </w:rPr>
        <w:t xml:space="preserve">                                </w:t>
      </w:r>
      <w:r>
        <w:rPr>
          <w:rFonts w:ascii="宋体" w:hAnsi="宋体" w:eastAsia="宋体"/>
          <w:sz w:val="24"/>
          <w:szCs w:val="24"/>
          <w:highlight w:val="none"/>
        </w:rPr>
        <w:t>联系电话：</w:t>
      </w:r>
      <w:r>
        <w:rPr>
          <w:rFonts w:hint="eastAsia" w:ascii="宋体" w:hAnsi="宋体" w:eastAsia="宋体"/>
          <w:sz w:val="24"/>
          <w:szCs w:val="24"/>
          <w:highlight w:val="none"/>
          <w:lang w:val="en-US" w:eastAsia="zh-CN"/>
        </w:rPr>
        <w:t>17609849026</w:t>
      </w:r>
    </w:p>
    <w:sectPr>
      <w:headerReference r:id="rId3" w:type="first"/>
      <w:footerReference r:id="rId5" w:type="first"/>
      <w:footerReference r:id="rId4" w:type="default"/>
      <w:pgSz w:w="16838" w:h="11906" w:orient="landscape"/>
      <w:pgMar w:top="1304" w:right="1134" w:bottom="1304" w:left="1134" w:header="964" w:footer="1531" w:gutter="0"/>
      <w:pgNumType w:fmt="numberInDash"/>
      <w:cols w:space="0" w:num="1"/>
      <w:titlePg/>
      <w:rtlGutter w:val="0"/>
      <w:docGrid w:type="lines" w:linePitch="6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eastAsiaTheme="minorEastAsia"/>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inorEastAsia" w:hAnsiTheme="minorEastAsia" w:eastAsiaTheme="minorEastAsia"/>
                              <w:sz w:val="24"/>
                              <w:szCs w:val="24"/>
                            </w:rPr>
                            <w:id w:val="-1306616687"/>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pPr>
                            <w:rPr>
                              <w:rFonts w:asciiTheme="minorEastAsia" w:hAnsiTheme="minorEastAsia" w:eastAsiaTheme="minorEastAsia"/>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sdt>
                    <w:sdtPr>
                      <w:rPr>
                        <w:rFonts w:asciiTheme="minorEastAsia" w:hAnsiTheme="minorEastAsia" w:eastAsiaTheme="minorEastAsia"/>
                        <w:sz w:val="24"/>
                        <w:szCs w:val="24"/>
                      </w:rPr>
                      <w:id w:val="-1306616687"/>
                    </w:sdtPr>
                    <w:sdtEndPr>
                      <w:rPr>
                        <w:rFonts w:asciiTheme="minorEastAsia" w:hAnsiTheme="minorEastAsia" w:eastAsiaTheme="minorEastAsia"/>
                        <w:sz w:val="24"/>
                        <w:szCs w:val="24"/>
                      </w:rPr>
                    </w:sdtEndPr>
                    <w:sdtContent>
                      <w:p>
                        <w:pPr>
                          <w:pStyle w:val="8"/>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pPr>
                      <w:rPr>
                        <w:rFonts w:asciiTheme="minorEastAsia" w:hAnsiTheme="minorEastAsia" w:eastAsiaTheme="minorEastAsia"/>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rPr>
          <w:rFonts w:asciiTheme="minorEastAsia" w:hAnsiTheme="minorEastAsia" w:eastAsiaTheme="minorEastAsia"/>
          <w:sz w:val="24"/>
          <w:szCs w:val="24"/>
        </w:rPr>
        <w:id w:val="-1306616687"/>
      </w:sdtPr>
      <w:sdtEndPr>
        <w:rPr>
          <w:rFonts w:asciiTheme="minorEastAsia" w:hAnsiTheme="minorEastAsia" w:eastAsiaTheme="minorEastAsia"/>
          <w:sz w:val="24"/>
          <w:szCs w:val="24"/>
        </w:rPr>
      </w:sdtEndPr>
      <w:sdtContent>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PAGE   \* MERGEFORMAT</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sdtContent>
    </w:sdt>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5E0CE"/>
    <w:multiLevelType w:val="singleLevel"/>
    <w:tmpl w:val="6725E0CE"/>
    <w:lvl w:ilvl="0" w:tentative="0">
      <w:start w:val="15"/>
      <w:numFmt w:val="chineseCounting"/>
      <w:suff w:val="space"/>
      <w:lvlText w:val="第%1条"/>
      <w:lvlJc w:val="left"/>
    </w:lvl>
  </w:abstractNum>
  <w:abstractNum w:abstractNumId="1">
    <w:nsid w:val="6725EF6E"/>
    <w:multiLevelType w:val="singleLevel"/>
    <w:tmpl w:val="6725EF6E"/>
    <w:lvl w:ilvl="0" w:tentative="0">
      <w:start w:val="10"/>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4"/>
  <w:drawingGridVerticalSpacing w:val="62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YTQwMDdmZjQ3NTg0ZmZjYjc2NzdiMTg5YWQ2MWUifQ=="/>
  </w:docVars>
  <w:rsids>
    <w:rsidRoot w:val="00F91EDF"/>
    <w:rsid w:val="00001707"/>
    <w:rsid w:val="00007DFA"/>
    <w:rsid w:val="00010ABB"/>
    <w:rsid w:val="00012A27"/>
    <w:rsid w:val="00014FF4"/>
    <w:rsid w:val="00016867"/>
    <w:rsid w:val="00017175"/>
    <w:rsid w:val="000207B1"/>
    <w:rsid w:val="00021873"/>
    <w:rsid w:val="000257D6"/>
    <w:rsid w:val="00034C45"/>
    <w:rsid w:val="0003574D"/>
    <w:rsid w:val="00035F5F"/>
    <w:rsid w:val="00037191"/>
    <w:rsid w:val="00037767"/>
    <w:rsid w:val="00037A0C"/>
    <w:rsid w:val="000411EC"/>
    <w:rsid w:val="000413B6"/>
    <w:rsid w:val="00043496"/>
    <w:rsid w:val="00043DBB"/>
    <w:rsid w:val="0004491C"/>
    <w:rsid w:val="00045298"/>
    <w:rsid w:val="000458B6"/>
    <w:rsid w:val="000476D4"/>
    <w:rsid w:val="00056DFB"/>
    <w:rsid w:val="00060358"/>
    <w:rsid w:val="0006119F"/>
    <w:rsid w:val="0006135E"/>
    <w:rsid w:val="00062D26"/>
    <w:rsid w:val="0006406B"/>
    <w:rsid w:val="0006458B"/>
    <w:rsid w:val="0006602C"/>
    <w:rsid w:val="000671DE"/>
    <w:rsid w:val="0006781F"/>
    <w:rsid w:val="00067CF2"/>
    <w:rsid w:val="0008001D"/>
    <w:rsid w:val="00080F02"/>
    <w:rsid w:val="0008121B"/>
    <w:rsid w:val="00081AD8"/>
    <w:rsid w:val="00083652"/>
    <w:rsid w:val="0008555D"/>
    <w:rsid w:val="00091F03"/>
    <w:rsid w:val="00093591"/>
    <w:rsid w:val="00093FF0"/>
    <w:rsid w:val="00094892"/>
    <w:rsid w:val="00094E9B"/>
    <w:rsid w:val="000A588F"/>
    <w:rsid w:val="000A76EE"/>
    <w:rsid w:val="000B3690"/>
    <w:rsid w:val="000B6476"/>
    <w:rsid w:val="000C1B80"/>
    <w:rsid w:val="000C365B"/>
    <w:rsid w:val="000C5956"/>
    <w:rsid w:val="000D10AE"/>
    <w:rsid w:val="000D39F4"/>
    <w:rsid w:val="000D51A8"/>
    <w:rsid w:val="000E08CF"/>
    <w:rsid w:val="000E4993"/>
    <w:rsid w:val="000E56C7"/>
    <w:rsid w:val="000E5ABE"/>
    <w:rsid w:val="000E6084"/>
    <w:rsid w:val="000F3193"/>
    <w:rsid w:val="00101084"/>
    <w:rsid w:val="00103558"/>
    <w:rsid w:val="001063CA"/>
    <w:rsid w:val="00107DDE"/>
    <w:rsid w:val="001162DE"/>
    <w:rsid w:val="00120294"/>
    <w:rsid w:val="00120439"/>
    <w:rsid w:val="001219E6"/>
    <w:rsid w:val="00122319"/>
    <w:rsid w:val="00122336"/>
    <w:rsid w:val="0012561A"/>
    <w:rsid w:val="00125AA4"/>
    <w:rsid w:val="00126A6C"/>
    <w:rsid w:val="00127122"/>
    <w:rsid w:val="001364D6"/>
    <w:rsid w:val="001374CC"/>
    <w:rsid w:val="00137E2D"/>
    <w:rsid w:val="001451EC"/>
    <w:rsid w:val="001477B5"/>
    <w:rsid w:val="00150310"/>
    <w:rsid w:val="0015687D"/>
    <w:rsid w:val="00160087"/>
    <w:rsid w:val="0016218E"/>
    <w:rsid w:val="00162ACF"/>
    <w:rsid w:val="00167069"/>
    <w:rsid w:val="0017379D"/>
    <w:rsid w:val="001764C6"/>
    <w:rsid w:val="00177644"/>
    <w:rsid w:val="001800F5"/>
    <w:rsid w:val="00182742"/>
    <w:rsid w:val="0018492C"/>
    <w:rsid w:val="001859C7"/>
    <w:rsid w:val="001862B2"/>
    <w:rsid w:val="001A3992"/>
    <w:rsid w:val="001A4FEF"/>
    <w:rsid w:val="001A7BF6"/>
    <w:rsid w:val="001B499A"/>
    <w:rsid w:val="001B4FA1"/>
    <w:rsid w:val="001B78A5"/>
    <w:rsid w:val="001C1D07"/>
    <w:rsid w:val="001C3040"/>
    <w:rsid w:val="001C65EE"/>
    <w:rsid w:val="001D0E0F"/>
    <w:rsid w:val="001D23F8"/>
    <w:rsid w:val="001D622A"/>
    <w:rsid w:val="001E1156"/>
    <w:rsid w:val="001E52A1"/>
    <w:rsid w:val="001E5FA7"/>
    <w:rsid w:val="001F04FC"/>
    <w:rsid w:val="001F1438"/>
    <w:rsid w:val="001F2042"/>
    <w:rsid w:val="001F3038"/>
    <w:rsid w:val="001F3EC9"/>
    <w:rsid w:val="001F478E"/>
    <w:rsid w:val="00200434"/>
    <w:rsid w:val="002028DF"/>
    <w:rsid w:val="00210043"/>
    <w:rsid w:val="00210629"/>
    <w:rsid w:val="002219BE"/>
    <w:rsid w:val="00223460"/>
    <w:rsid w:val="00226145"/>
    <w:rsid w:val="0022728E"/>
    <w:rsid w:val="00232324"/>
    <w:rsid w:val="002379E6"/>
    <w:rsid w:val="00241B78"/>
    <w:rsid w:val="00242170"/>
    <w:rsid w:val="00247136"/>
    <w:rsid w:val="00247F1D"/>
    <w:rsid w:val="0025128F"/>
    <w:rsid w:val="002564DD"/>
    <w:rsid w:val="0025753B"/>
    <w:rsid w:val="00263C6E"/>
    <w:rsid w:val="00264DD8"/>
    <w:rsid w:val="002652DF"/>
    <w:rsid w:val="00273D5E"/>
    <w:rsid w:val="0027760C"/>
    <w:rsid w:val="00282A71"/>
    <w:rsid w:val="00283D64"/>
    <w:rsid w:val="002908E5"/>
    <w:rsid w:val="00292AE9"/>
    <w:rsid w:val="00294690"/>
    <w:rsid w:val="00294A07"/>
    <w:rsid w:val="00295B1A"/>
    <w:rsid w:val="00296CA8"/>
    <w:rsid w:val="002A315C"/>
    <w:rsid w:val="002A34F8"/>
    <w:rsid w:val="002A61E7"/>
    <w:rsid w:val="002B0374"/>
    <w:rsid w:val="002B0D15"/>
    <w:rsid w:val="002B0D1D"/>
    <w:rsid w:val="002B1E44"/>
    <w:rsid w:val="002C054B"/>
    <w:rsid w:val="002C7258"/>
    <w:rsid w:val="002D366A"/>
    <w:rsid w:val="002D4CE8"/>
    <w:rsid w:val="002D6339"/>
    <w:rsid w:val="002D65DC"/>
    <w:rsid w:val="002E303F"/>
    <w:rsid w:val="002E313D"/>
    <w:rsid w:val="002E7246"/>
    <w:rsid w:val="002F07DB"/>
    <w:rsid w:val="002F4238"/>
    <w:rsid w:val="002F4825"/>
    <w:rsid w:val="002F69B1"/>
    <w:rsid w:val="003001DE"/>
    <w:rsid w:val="00301A1F"/>
    <w:rsid w:val="00301F38"/>
    <w:rsid w:val="003069EE"/>
    <w:rsid w:val="00310B0F"/>
    <w:rsid w:val="00314E51"/>
    <w:rsid w:val="00317D82"/>
    <w:rsid w:val="00321292"/>
    <w:rsid w:val="00321757"/>
    <w:rsid w:val="00321B05"/>
    <w:rsid w:val="00322912"/>
    <w:rsid w:val="00322EA3"/>
    <w:rsid w:val="00323A0C"/>
    <w:rsid w:val="003245EC"/>
    <w:rsid w:val="003260A3"/>
    <w:rsid w:val="0033185D"/>
    <w:rsid w:val="0033398E"/>
    <w:rsid w:val="003365E1"/>
    <w:rsid w:val="00336DF6"/>
    <w:rsid w:val="00343297"/>
    <w:rsid w:val="00347381"/>
    <w:rsid w:val="003476BE"/>
    <w:rsid w:val="003507DB"/>
    <w:rsid w:val="00353FB8"/>
    <w:rsid w:val="00356755"/>
    <w:rsid w:val="00360FF1"/>
    <w:rsid w:val="00366000"/>
    <w:rsid w:val="00366432"/>
    <w:rsid w:val="00367299"/>
    <w:rsid w:val="00373C85"/>
    <w:rsid w:val="0037422F"/>
    <w:rsid w:val="00375180"/>
    <w:rsid w:val="00375388"/>
    <w:rsid w:val="00375AA2"/>
    <w:rsid w:val="00376245"/>
    <w:rsid w:val="003807FE"/>
    <w:rsid w:val="00382AB1"/>
    <w:rsid w:val="00384F52"/>
    <w:rsid w:val="00387F79"/>
    <w:rsid w:val="00392D0F"/>
    <w:rsid w:val="003A1790"/>
    <w:rsid w:val="003A17EA"/>
    <w:rsid w:val="003A2990"/>
    <w:rsid w:val="003A436D"/>
    <w:rsid w:val="003A5DE9"/>
    <w:rsid w:val="003A5E83"/>
    <w:rsid w:val="003B0A40"/>
    <w:rsid w:val="003B3861"/>
    <w:rsid w:val="003B42AF"/>
    <w:rsid w:val="003B5F97"/>
    <w:rsid w:val="003B7805"/>
    <w:rsid w:val="003C09AF"/>
    <w:rsid w:val="003C1E9F"/>
    <w:rsid w:val="003C3EA3"/>
    <w:rsid w:val="003D1FC3"/>
    <w:rsid w:val="003D260C"/>
    <w:rsid w:val="003D3E4E"/>
    <w:rsid w:val="003D571F"/>
    <w:rsid w:val="003D604D"/>
    <w:rsid w:val="003D66F8"/>
    <w:rsid w:val="003D7DCA"/>
    <w:rsid w:val="003E1510"/>
    <w:rsid w:val="003E183F"/>
    <w:rsid w:val="003E2288"/>
    <w:rsid w:val="003E3E95"/>
    <w:rsid w:val="003E4635"/>
    <w:rsid w:val="003E521A"/>
    <w:rsid w:val="003E639B"/>
    <w:rsid w:val="003F5524"/>
    <w:rsid w:val="003F67A6"/>
    <w:rsid w:val="003F6A1C"/>
    <w:rsid w:val="00404F45"/>
    <w:rsid w:val="00405249"/>
    <w:rsid w:val="00407C3B"/>
    <w:rsid w:val="0041272B"/>
    <w:rsid w:val="00412CD9"/>
    <w:rsid w:val="0042244A"/>
    <w:rsid w:val="00424A2F"/>
    <w:rsid w:val="004258E1"/>
    <w:rsid w:val="004311C1"/>
    <w:rsid w:val="00431B2F"/>
    <w:rsid w:val="00434BD0"/>
    <w:rsid w:val="00437092"/>
    <w:rsid w:val="004424B1"/>
    <w:rsid w:val="00443380"/>
    <w:rsid w:val="004437B0"/>
    <w:rsid w:val="00443812"/>
    <w:rsid w:val="00447CFB"/>
    <w:rsid w:val="00450506"/>
    <w:rsid w:val="004511EA"/>
    <w:rsid w:val="00451D45"/>
    <w:rsid w:val="00453C2E"/>
    <w:rsid w:val="00455684"/>
    <w:rsid w:val="00460D8E"/>
    <w:rsid w:val="00461321"/>
    <w:rsid w:val="00463A21"/>
    <w:rsid w:val="00463F19"/>
    <w:rsid w:val="00464D9F"/>
    <w:rsid w:val="0046502C"/>
    <w:rsid w:val="00467EDE"/>
    <w:rsid w:val="0047010A"/>
    <w:rsid w:val="00473B0E"/>
    <w:rsid w:val="00473B57"/>
    <w:rsid w:val="00475988"/>
    <w:rsid w:val="00481C9A"/>
    <w:rsid w:val="00481E1F"/>
    <w:rsid w:val="004826D0"/>
    <w:rsid w:val="00482FA4"/>
    <w:rsid w:val="00484A75"/>
    <w:rsid w:val="00484D0A"/>
    <w:rsid w:val="00486C83"/>
    <w:rsid w:val="0048741E"/>
    <w:rsid w:val="004875FC"/>
    <w:rsid w:val="004920C0"/>
    <w:rsid w:val="00494106"/>
    <w:rsid w:val="00494F69"/>
    <w:rsid w:val="00496ACD"/>
    <w:rsid w:val="004A173A"/>
    <w:rsid w:val="004A2DE2"/>
    <w:rsid w:val="004A366F"/>
    <w:rsid w:val="004A38E8"/>
    <w:rsid w:val="004A5474"/>
    <w:rsid w:val="004B0056"/>
    <w:rsid w:val="004B23D7"/>
    <w:rsid w:val="004B41E7"/>
    <w:rsid w:val="004B4D9B"/>
    <w:rsid w:val="004B7114"/>
    <w:rsid w:val="004B7644"/>
    <w:rsid w:val="004C1322"/>
    <w:rsid w:val="004C172C"/>
    <w:rsid w:val="004C59B4"/>
    <w:rsid w:val="004D01A5"/>
    <w:rsid w:val="004D2FBF"/>
    <w:rsid w:val="004D72C8"/>
    <w:rsid w:val="004E2449"/>
    <w:rsid w:val="004E5485"/>
    <w:rsid w:val="004E7414"/>
    <w:rsid w:val="004F20E7"/>
    <w:rsid w:val="004F2FC9"/>
    <w:rsid w:val="004F36C5"/>
    <w:rsid w:val="004F7826"/>
    <w:rsid w:val="004F7F58"/>
    <w:rsid w:val="005019B9"/>
    <w:rsid w:val="00502E3E"/>
    <w:rsid w:val="00504F27"/>
    <w:rsid w:val="0051277F"/>
    <w:rsid w:val="00512A63"/>
    <w:rsid w:val="00515144"/>
    <w:rsid w:val="005170E3"/>
    <w:rsid w:val="00517663"/>
    <w:rsid w:val="00517838"/>
    <w:rsid w:val="005215AF"/>
    <w:rsid w:val="00522BEB"/>
    <w:rsid w:val="00525327"/>
    <w:rsid w:val="005308C3"/>
    <w:rsid w:val="0053090D"/>
    <w:rsid w:val="005325C4"/>
    <w:rsid w:val="00533167"/>
    <w:rsid w:val="0053377E"/>
    <w:rsid w:val="005346CB"/>
    <w:rsid w:val="0053680E"/>
    <w:rsid w:val="00540AF4"/>
    <w:rsid w:val="00547903"/>
    <w:rsid w:val="0055016D"/>
    <w:rsid w:val="0055658C"/>
    <w:rsid w:val="0055738A"/>
    <w:rsid w:val="005578D5"/>
    <w:rsid w:val="00561A75"/>
    <w:rsid w:val="0056322F"/>
    <w:rsid w:val="005655E2"/>
    <w:rsid w:val="00565BF1"/>
    <w:rsid w:val="0056770A"/>
    <w:rsid w:val="005813D4"/>
    <w:rsid w:val="005857FC"/>
    <w:rsid w:val="005878F8"/>
    <w:rsid w:val="0059390B"/>
    <w:rsid w:val="005948C8"/>
    <w:rsid w:val="005950A7"/>
    <w:rsid w:val="00596A72"/>
    <w:rsid w:val="005976FA"/>
    <w:rsid w:val="005A46AC"/>
    <w:rsid w:val="005A7225"/>
    <w:rsid w:val="005B0B70"/>
    <w:rsid w:val="005B3CA4"/>
    <w:rsid w:val="005B6F72"/>
    <w:rsid w:val="005B7DEE"/>
    <w:rsid w:val="005C2EEA"/>
    <w:rsid w:val="005C4841"/>
    <w:rsid w:val="005D0E79"/>
    <w:rsid w:val="005D6677"/>
    <w:rsid w:val="005E328C"/>
    <w:rsid w:val="005E3E01"/>
    <w:rsid w:val="005E4E8F"/>
    <w:rsid w:val="005E6AD0"/>
    <w:rsid w:val="005F1528"/>
    <w:rsid w:val="005F659C"/>
    <w:rsid w:val="005F6DF4"/>
    <w:rsid w:val="006006F3"/>
    <w:rsid w:val="00602F70"/>
    <w:rsid w:val="006044CD"/>
    <w:rsid w:val="00604D85"/>
    <w:rsid w:val="00606BF6"/>
    <w:rsid w:val="006072D5"/>
    <w:rsid w:val="006137CB"/>
    <w:rsid w:val="0061482C"/>
    <w:rsid w:val="00615119"/>
    <w:rsid w:val="0061670C"/>
    <w:rsid w:val="0061723E"/>
    <w:rsid w:val="00621D60"/>
    <w:rsid w:val="00625005"/>
    <w:rsid w:val="00625058"/>
    <w:rsid w:val="006328CF"/>
    <w:rsid w:val="0063307A"/>
    <w:rsid w:val="00635EC9"/>
    <w:rsid w:val="0063628E"/>
    <w:rsid w:val="00637473"/>
    <w:rsid w:val="00640B79"/>
    <w:rsid w:val="00641012"/>
    <w:rsid w:val="00643FA4"/>
    <w:rsid w:val="00644080"/>
    <w:rsid w:val="0064572E"/>
    <w:rsid w:val="00652667"/>
    <w:rsid w:val="0065463F"/>
    <w:rsid w:val="0065790E"/>
    <w:rsid w:val="00657C3E"/>
    <w:rsid w:val="00662BC7"/>
    <w:rsid w:val="00663138"/>
    <w:rsid w:val="00666E35"/>
    <w:rsid w:val="00671E44"/>
    <w:rsid w:val="00673301"/>
    <w:rsid w:val="00674617"/>
    <w:rsid w:val="00675FF2"/>
    <w:rsid w:val="00682DB0"/>
    <w:rsid w:val="00683C96"/>
    <w:rsid w:val="0068599E"/>
    <w:rsid w:val="00687433"/>
    <w:rsid w:val="00687743"/>
    <w:rsid w:val="00690E03"/>
    <w:rsid w:val="00691A7C"/>
    <w:rsid w:val="0069361C"/>
    <w:rsid w:val="006947C4"/>
    <w:rsid w:val="00697582"/>
    <w:rsid w:val="006A1004"/>
    <w:rsid w:val="006A10DB"/>
    <w:rsid w:val="006A25ED"/>
    <w:rsid w:val="006A5DC2"/>
    <w:rsid w:val="006A6757"/>
    <w:rsid w:val="006B0335"/>
    <w:rsid w:val="006B2EA3"/>
    <w:rsid w:val="006B5016"/>
    <w:rsid w:val="006B5CCE"/>
    <w:rsid w:val="006C0524"/>
    <w:rsid w:val="006C36EB"/>
    <w:rsid w:val="006C5AE4"/>
    <w:rsid w:val="006D155E"/>
    <w:rsid w:val="006D30D6"/>
    <w:rsid w:val="006D5216"/>
    <w:rsid w:val="006D63A8"/>
    <w:rsid w:val="006E2A5B"/>
    <w:rsid w:val="006E388F"/>
    <w:rsid w:val="006E5A89"/>
    <w:rsid w:val="006E5EB3"/>
    <w:rsid w:val="006E7AC8"/>
    <w:rsid w:val="006F0D27"/>
    <w:rsid w:val="006F1A99"/>
    <w:rsid w:val="006F3AB5"/>
    <w:rsid w:val="006F662E"/>
    <w:rsid w:val="006F7057"/>
    <w:rsid w:val="0070116B"/>
    <w:rsid w:val="00702B6E"/>
    <w:rsid w:val="0070580D"/>
    <w:rsid w:val="007063F6"/>
    <w:rsid w:val="0071007B"/>
    <w:rsid w:val="007121EE"/>
    <w:rsid w:val="007124AB"/>
    <w:rsid w:val="00712B80"/>
    <w:rsid w:val="00714477"/>
    <w:rsid w:val="00714C5B"/>
    <w:rsid w:val="00716E09"/>
    <w:rsid w:val="007217D9"/>
    <w:rsid w:val="00721D46"/>
    <w:rsid w:val="00722477"/>
    <w:rsid w:val="007245EA"/>
    <w:rsid w:val="00726CB0"/>
    <w:rsid w:val="00730537"/>
    <w:rsid w:val="00730843"/>
    <w:rsid w:val="00731DC2"/>
    <w:rsid w:val="00732AE1"/>
    <w:rsid w:val="00735BAB"/>
    <w:rsid w:val="00742599"/>
    <w:rsid w:val="007427C0"/>
    <w:rsid w:val="00743A9C"/>
    <w:rsid w:val="00747BFB"/>
    <w:rsid w:val="00752F4D"/>
    <w:rsid w:val="00753858"/>
    <w:rsid w:val="00754F35"/>
    <w:rsid w:val="00756381"/>
    <w:rsid w:val="0076119D"/>
    <w:rsid w:val="00762717"/>
    <w:rsid w:val="00762F24"/>
    <w:rsid w:val="00766DB9"/>
    <w:rsid w:val="00771A75"/>
    <w:rsid w:val="00772FF8"/>
    <w:rsid w:val="007731D7"/>
    <w:rsid w:val="0077375F"/>
    <w:rsid w:val="007766C0"/>
    <w:rsid w:val="0077752D"/>
    <w:rsid w:val="0077772C"/>
    <w:rsid w:val="00780897"/>
    <w:rsid w:val="00780C80"/>
    <w:rsid w:val="007818EF"/>
    <w:rsid w:val="00783A41"/>
    <w:rsid w:val="00790E43"/>
    <w:rsid w:val="00793261"/>
    <w:rsid w:val="00794647"/>
    <w:rsid w:val="00795975"/>
    <w:rsid w:val="007A0BC9"/>
    <w:rsid w:val="007A2846"/>
    <w:rsid w:val="007A3DFC"/>
    <w:rsid w:val="007A4DD6"/>
    <w:rsid w:val="007A5321"/>
    <w:rsid w:val="007A57EE"/>
    <w:rsid w:val="007A6A34"/>
    <w:rsid w:val="007B1E8C"/>
    <w:rsid w:val="007B34AB"/>
    <w:rsid w:val="007B3BEC"/>
    <w:rsid w:val="007B5104"/>
    <w:rsid w:val="007B5E5B"/>
    <w:rsid w:val="007B6999"/>
    <w:rsid w:val="007C07E3"/>
    <w:rsid w:val="007C4A41"/>
    <w:rsid w:val="007C4DC7"/>
    <w:rsid w:val="007C682D"/>
    <w:rsid w:val="007C78F0"/>
    <w:rsid w:val="007D27F9"/>
    <w:rsid w:val="007D473D"/>
    <w:rsid w:val="007D6482"/>
    <w:rsid w:val="007D67DF"/>
    <w:rsid w:val="007E086A"/>
    <w:rsid w:val="007E3EF8"/>
    <w:rsid w:val="007F181F"/>
    <w:rsid w:val="007F2208"/>
    <w:rsid w:val="0080000A"/>
    <w:rsid w:val="008021D3"/>
    <w:rsid w:val="00806D96"/>
    <w:rsid w:val="008075D1"/>
    <w:rsid w:val="00810D5B"/>
    <w:rsid w:val="008116CD"/>
    <w:rsid w:val="008173B9"/>
    <w:rsid w:val="00820D90"/>
    <w:rsid w:val="008223DA"/>
    <w:rsid w:val="008250E0"/>
    <w:rsid w:val="00832874"/>
    <w:rsid w:val="008330D1"/>
    <w:rsid w:val="00833402"/>
    <w:rsid w:val="008350DF"/>
    <w:rsid w:val="00836A80"/>
    <w:rsid w:val="00837836"/>
    <w:rsid w:val="00837A17"/>
    <w:rsid w:val="00846239"/>
    <w:rsid w:val="0085072E"/>
    <w:rsid w:val="00851071"/>
    <w:rsid w:val="00852AE8"/>
    <w:rsid w:val="00855BF2"/>
    <w:rsid w:val="008570D5"/>
    <w:rsid w:val="0086020D"/>
    <w:rsid w:val="0086250A"/>
    <w:rsid w:val="008653E8"/>
    <w:rsid w:val="00877D21"/>
    <w:rsid w:val="00880553"/>
    <w:rsid w:val="00881650"/>
    <w:rsid w:val="00882A98"/>
    <w:rsid w:val="00883AAF"/>
    <w:rsid w:val="00885FB3"/>
    <w:rsid w:val="00887763"/>
    <w:rsid w:val="008961DF"/>
    <w:rsid w:val="008964B9"/>
    <w:rsid w:val="008A0BE1"/>
    <w:rsid w:val="008A10AB"/>
    <w:rsid w:val="008A264F"/>
    <w:rsid w:val="008A2BE9"/>
    <w:rsid w:val="008A5306"/>
    <w:rsid w:val="008A7E8B"/>
    <w:rsid w:val="008B3A68"/>
    <w:rsid w:val="008B4C17"/>
    <w:rsid w:val="008C517A"/>
    <w:rsid w:val="008C6AA3"/>
    <w:rsid w:val="008D2F56"/>
    <w:rsid w:val="008D320A"/>
    <w:rsid w:val="008D3C46"/>
    <w:rsid w:val="008D4458"/>
    <w:rsid w:val="008E2EAC"/>
    <w:rsid w:val="008E6488"/>
    <w:rsid w:val="008E7FFE"/>
    <w:rsid w:val="008F15EE"/>
    <w:rsid w:val="008F32BB"/>
    <w:rsid w:val="008F511E"/>
    <w:rsid w:val="009008B4"/>
    <w:rsid w:val="00903F3F"/>
    <w:rsid w:val="0090565C"/>
    <w:rsid w:val="0091496F"/>
    <w:rsid w:val="00927D85"/>
    <w:rsid w:val="0093318E"/>
    <w:rsid w:val="009332D5"/>
    <w:rsid w:val="0093366E"/>
    <w:rsid w:val="00935D0A"/>
    <w:rsid w:val="0094041D"/>
    <w:rsid w:val="00941F44"/>
    <w:rsid w:val="00942E1F"/>
    <w:rsid w:val="0094525A"/>
    <w:rsid w:val="0094711E"/>
    <w:rsid w:val="0095029E"/>
    <w:rsid w:val="00951BA2"/>
    <w:rsid w:val="00952546"/>
    <w:rsid w:val="00952CD3"/>
    <w:rsid w:val="009532C4"/>
    <w:rsid w:val="009554E5"/>
    <w:rsid w:val="009557A4"/>
    <w:rsid w:val="0095617C"/>
    <w:rsid w:val="00960680"/>
    <w:rsid w:val="00960700"/>
    <w:rsid w:val="00961C61"/>
    <w:rsid w:val="009658EA"/>
    <w:rsid w:val="00974143"/>
    <w:rsid w:val="00980ACD"/>
    <w:rsid w:val="009813DD"/>
    <w:rsid w:val="00981EBB"/>
    <w:rsid w:val="0098210B"/>
    <w:rsid w:val="009842E6"/>
    <w:rsid w:val="009849F8"/>
    <w:rsid w:val="00985459"/>
    <w:rsid w:val="00985988"/>
    <w:rsid w:val="009866BB"/>
    <w:rsid w:val="0099315E"/>
    <w:rsid w:val="009942E3"/>
    <w:rsid w:val="00996ED9"/>
    <w:rsid w:val="009A10CF"/>
    <w:rsid w:val="009A4897"/>
    <w:rsid w:val="009A4DBF"/>
    <w:rsid w:val="009A7151"/>
    <w:rsid w:val="009B09D6"/>
    <w:rsid w:val="009C00C3"/>
    <w:rsid w:val="009C0FAC"/>
    <w:rsid w:val="009C37CE"/>
    <w:rsid w:val="009C7874"/>
    <w:rsid w:val="009D2B0E"/>
    <w:rsid w:val="009D505A"/>
    <w:rsid w:val="009D53CE"/>
    <w:rsid w:val="009D6F0E"/>
    <w:rsid w:val="009E2046"/>
    <w:rsid w:val="009E21C8"/>
    <w:rsid w:val="009F3389"/>
    <w:rsid w:val="009F6175"/>
    <w:rsid w:val="009F6200"/>
    <w:rsid w:val="00A0357B"/>
    <w:rsid w:val="00A06A14"/>
    <w:rsid w:val="00A06F20"/>
    <w:rsid w:val="00A10DCC"/>
    <w:rsid w:val="00A12623"/>
    <w:rsid w:val="00A12803"/>
    <w:rsid w:val="00A12D80"/>
    <w:rsid w:val="00A17D8A"/>
    <w:rsid w:val="00A2054D"/>
    <w:rsid w:val="00A213DF"/>
    <w:rsid w:val="00A21466"/>
    <w:rsid w:val="00A26FE1"/>
    <w:rsid w:val="00A301DA"/>
    <w:rsid w:val="00A32C91"/>
    <w:rsid w:val="00A35C42"/>
    <w:rsid w:val="00A37BB9"/>
    <w:rsid w:val="00A41075"/>
    <w:rsid w:val="00A4174C"/>
    <w:rsid w:val="00A44B2B"/>
    <w:rsid w:val="00A45DF8"/>
    <w:rsid w:val="00A46A36"/>
    <w:rsid w:val="00A47803"/>
    <w:rsid w:val="00A50696"/>
    <w:rsid w:val="00A52E36"/>
    <w:rsid w:val="00A578A2"/>
    <w:rsid w:val="00A618DC"/>
    <w:rsid w:val="00A61B25"/>
    <w:rsid w:val="00A628BD"/>
    <w:rsid w:val="00A62C29"/>
    <w:rsid w:val="00A64BD6"/>
    <w:rsid w:val="00A6661C"/>
    <w:rsid w:val="00A706EE"/>
    <w:rsid w:val="00A73FD3"/>
    <w:rsid w:val="00A749FD"/>
    <w:rsid w:val="00A751DD"/>
    <w:rsid w:val="00A75D0E"/>
    <w:rsid w:val="00A76383"/>
    <w:rsid w:val="00A8037F"/>
    <w:rsid w:val="00A8427B"/>
    <w:rsid w:val="00A84DD6"/>
    <w:rsid w:val="00A87313"/>
    <w:rsid w:val="00A877D5"/>
    <w:rsid w:val="00A87BF9"/>
    <w:rsid w:val="00A9075A"/>
    <w:rsid w:val="00A94713"/>
    <w:rsid w:val="00A961E4"/>
    <w:rsid w:val="00A979BA"/>
    <w:rsid w:val="00AA3F1F"/>
    <w:rsid w:val="00AA5912"/>
    <w:rsid w:val="00AA7C97"/>
    <w:rsid w:val="00AB11B3"/>
    <w:rsid w:val="00AB5405"/>
    <w:rsid w:val="00AB5CC4"/>
    <w:rsid w:val="00AC127B"/>
    <w:rsid w:val="00AC1F61"/>
    <w:rsid w:val="00AC5866"/>
    <w:rsid w:val="00AC5C11"/>
    <w:rsid w:val="00AC667F"/>
    <w:rsid w:val="00AC6EDC"/>
    <w:rsid w:val="00AC75DD"/>
    <w:rsid w:val="00AD1C75"/>
    <w:rsid w:val="00AD3BFC"/>
    <w:rsid w:val="00AD4D95"/>
    <w:rsid w:val="00AD71B6"/>
    <w:rsid w:val="00AF0CD8"/>
    <w:rsid w:val="00AF1B7E"/>
    <w:rsid w:val="00AF64C5"/>
    <w:rsid w:val="00AF7D28"/>
    <w:rsid w:val="00B01884"/>
    <w:rsid w:val="00B02379"/>
    <w:rsid w:val="00B0509E"/>
    <w:rsid w:val="00B1163C"/>
    <w:rsid w:val="00B11986"/>
    <w:rsid w:val="00B1244A"/>
    <w:rsid w:val="00B13E29"/>
    <w:rsid w:val="00B14899"/>
    <w:rsid w:val="00B20ECE"/>
    <w:rsid w:val="00B21A84"/>
    <w:rsid w:val="00B23A9C"/>
    <w:rsid w:val="00B23B47"/>
    <w:rsid w:val="00B25E24"/>
    <w:rsid w:val="00B2655F"/>
    <w:rsid w:val="00B27A0D"/>
    <w:rsid w:val="00B31361"/>
    <w:rsid w:val="00B319B5"/>
    <w:rsid w:val="00B31ED3"/>
    <w:rsid w:val="00B32A52"/>
    <w:rsid w:val="00B3357F"/>
    <w:rsid w:val="00B34DAC"/>
    <w:rsid w:val="00B40287"/>
    <w:rsid w:val="00B41C80"/>
    <w:rsid w:val="00B47841"/>
    <w:rsid w:val="00B54C7F"/>
    <w:rsid w:val="00B562C7"/>
    <w:rsid w:val="00B6082D"/>
    <w:rsid w:val="00B64251"/>
    <w:rsid w:val="00B64705"/>
    <w:rsid w:val="00B670A9"/>
    <w:rsid w:val="00B6737C"/>
    <w:rsid w:val="00B70DAC"/>
    <w:rsid w:val="00B7109E"/>
    <w:rsid w:val="00B718B6"/>
    <w:rsid w:val="00B74B8B"/>
    <w:rsid w:val="00B77390"/>
    <w:rsid w:val="00B83A95"/>
    <w:rsid w:val="00B844B8"/>
    <w:rsid w:val="00B850D1"/>
    <w:rsid w:val="00B85C13"/>
    <w:rsid w:val="00B86437"/>
    <w:rsid w:val="00B91384"/>
    <w:rsid w:val="00B91B05"/>
    <w:rsid w:val="00B93494"/>
    <w:rsid w:val="00B94028"/>
    <w:rsid w:val="00B9464C"/>
    <w:rsid w:val="00B949E1"/>
    <w:rsid w:val="00BA047C"/>
    <w:rsid w:val="00BA060E"/>
    <w:rsid w:val="00BA2124"/>
    <w:rsid w:val="00BA234C"/>
    <w:rsid w:val="00BA6491"/>
    <w:rsid w:val="00BB3D4E"/>
    <w:rsid w:val="00BC0095"/>
    <w:rsid w:val="00BC0A6D"/>
    <w:rsid w:val="00BC746E"/>
    <w:rsid w:val="00BC74F0"/>
    <w:rsid w:val="00BD1882"/>
    <w:rsid w:val="00BD6B81"/>
    <w:rsid w:val="00BE0CCA"/>
    <w:rsid w:val="00BE1A2D"/>
    <w:rsid w:val="00BE1A76"/>
    <w:rsid w:val="00BE380E"/>
    <w:rsid w:val="00BE3B07"/>
    <w:rsid w:val="00BE41F4"/>
    <w:rsid w:val="00BE450F"/>
    <w:rsid w:val="00BE62AA"/>
    <w:rsid w:val="00BE7221"/>
    <w:rsid w:val="00BE7226"/>
    <w:rsid w:val="00BF0152"/>
    <w:rsid w:val="00BF08C2"/>
    <w:rsid w:val="00BF2809"/>
    <w:rsid w:val="00BF56BD"/>
    <w:rsid w:val="00C00BD6"/>
    <w:rsid w:val="00C02A56"/>
    <w:rsid w:val="00C04910"/>
    <w:rsid w:val="00C12B94"/>
    <w:rsid w:val="00C1416B"/>
    <w:rsid w:val="00C1561A"/>
    <w:rsid w:val="00C1731D"/>
    <w:rsid w:val="00C20C7F"/>
    <w:rsid w:val="00C21A32"/>
    <w:rsid w:val="00C21B7D"/>
    <w:rsid w:val="00C241C6"/>
    <w:rsid w:val="00C248E4"/>
    <w:rsid w:val="00C312C1"/>
    <w:rsid w:val="00C313F2"/>
    <w:rsid w:val="00C40828"/>
    <w:rsid w:val="00C40B24"/>
    <w:rsid w:val="00C41258"/>
    <w:rsid w:val="00C43A99"/>
    <w:rsid w:val="00C46E64"/>
    <w:rsid w:val="00C47215"/>
    <w:rsid w:val="00C51E04"/>
    <w:rsid w:val="00C5690F"/>
    <w:rsid w:val="00C63D92"/>
    <w:rsid w:val="00C70B82"/>
    <w:rsid w:val="00C736CD"/>
    <w:rsid w:val="00C7392A"/>
    <w:rsid w:val="00C75373"/>
    <w:rsid w:val="00C7588A"/>
    <w:rsid w:val="00C7616F"/>
    <w:rsid w:val="00C80C76"/>
    <w:rsid w:val="00C83FBD"/>
    <w:rsid w:val="00C92508"/>
    <w:rsid w:val="00C95E48"/>
    <w:rsid w:val="00C96270"/>
    <w:rsid w:val="00CA0435"/>
    <w:rsid w:val="00CA2989"/>
    <w:rsid w:val="00CA32D5"/>
    <w:rsid w:val="00CA352C"/>
    <w:rsid w:val="00CA368B"/>
    <w:rsid w:val="00CA7CF6"/>
    <w:rsid w:val="00CB1273"/>
    <w:rsid w:val="00CB163E"/>
    <w:rsid w:val="00CC50DE"/>
    <w:rsid w:val="00CC58C8"/>
    <w:rsid w:val="00CC6D42"/>
    <w:rsid w:val="00CC6D75"/>
    <w:rsid w:val="00CC729A"/>
    <w:rsid w:val="00CD102A"/>
    <w:rsid w:val="00CD43B5"/>
    <w:rsid w:val="00CD5C78"/>
    <w:rsid w:val="00CE2591"/>
    <w:rsid w:val="00CE4B8C"/>
    <w:rsid w:val="00CE4F99"/>
    <w:rsid w:val="00CF0963"/>
    <w:rsid w:val="00CF278F"/>
    <w:rsid w:val="00D00D30"/>
    <w:rsid w:val="00D03897"/>
    <w:rsid w:val="00D05CCE"/>
    <w:rsid w:val="00D10237"/>
    <w:rsid w:val="00D11E41"/>
    <w:rsid w:val="00D128C2"/>
    <w:rsid w:val="00D1416B"/>
    <w:rsid w:val="00D21979"/>
    <w:rsid w:val="00D242D2"/>
    <w:rsid w:val="00D260E4"/>
    <w:rsid w:val="00D3476F"/>
    <w:rsid w:val="00D37982"/>
    <w:rsid w:val="00D41124"/>
    <w:rsid w:val="00D422BE"/>
    <w:rsid w:val="00D436E4"/>
    <w:rsid w:val="00D53B52"/>
    <w:rsid w:val="00D53C16"/>
    <w:rsid w:val="00D57BEB"/>
    <w:rsid w:val="00D61051"/>
    <w:rsid w:val="00D62175"/>
    <w:rsid w:val="00D63FBE"/>
    <w:rsid w:val="00D657B5"/>
    <w:rsid w:val="00D65B72"/>
    <w:rsid w:val="00D662ED"/>
    <w:rsid w:val="00D71973"/>
    <w:rsid w:val="00D71ECE"/>
    <w:rsid w:val="00D742C2"/>
    <w:rsid w:val="00D8064B"/>
    <w:rsid w:val="00D812E1"/>
    <w:rsid w:val="00D83933"/>
    <w:rsid w:val="00D85E50"/>
    <w:rsid w:val="00D8640B"/>
    <w:rsid w:val="00D87911"/>
    <w:rsid w:val="00D90F7A"/>
    <w:rsid w:val="00D921E3"/>
    <w:rsid w:val="00D94F5F"/>
    <w:rsid w:val="00D9659A"/>
    <w:rsid w:val="00DA0F3F"/>
    <w:rsid w:val="00DA3AE2"/>
    <w:rsid w:val="00DA48E2"/>
    <w:rsid w:val="00DA5088"/>
    <w:rsid w:val="00DC67A8"/>
    <w:rsid w:val="00DD0482"/>
    <w:rsid w:val="00DD0B3F"/>
    <w:rsid w:val="00DD25E6"/>
    <w:rsid w:val="00DD5E5C"/>
    <w:rsid w:val="00DD73F5"/>
    <w:rsid w:val="00DE08C2"/>
    <w:rsid w:val="00DE0EC7"/>
    <w:rsid w:val="00DE1082"/>
    <w:rsid w:val="00DE4650"/>
    <w:rsid w:val="00DE7AE3"/>
    <w:rsid w:val="00DE7BEC"/>
    <w:rsid w:val="00DF098F"/>
    <w:rsid w:val="00DF1FF9"/>
    <w:rsid w:val="00DF2123"/>
    <w:rsid w:val="00E02A60"/>
    <w:rsid w:val="00E02AA6"/>
    <w:rsid w:val="00E05660"/>
    <w:rsid w:val="00E05835"/>
    <w:rsid w:val="00E06FF1"/>
    <w:rsid w:val="00E10599"/>
    <w:rsid w:val="00E105F5"/>
    <w:rsid w:val="00E11D88"/>
    <w:rsid w:val="00E14E2A"/>
    <w:rsid w:val="00E167BA"/>
    <w:rsid w:val="00E20A08"/>
    <w:rsid w:val="00E23F81"/>
    <w:rsid w:val="00E256AA"/>
    <w:rsid w:val="00E30D08"/>
    <w:rsid w:val="00E37388"/>
    <w:rsid w:val="00E37F71"/>
    <w:rsid w:val="00E400B9"/>
    <w:rsid w:val="00E42ABC"/>
    <w:rsid w:val="00E46191"/>
    <w:rsid w:val="00E46E4C"/>
    <w:rsid w:val="00E47048"/>
    <w:rsid w:val="00E47CF4"/>
    <w:rsid w:val="00E52415"/>
    <w:rsid w:val="00E622C8"/>
    <w:rsid w:val="00E63246"/>
    <w:rsid w:val="00E64EF4"/>
    <w:rsid w:val="00E721E7"/>
    <w:rsid w:val="00E72419"/>
    <w:rsid w:val="00E724E4"/>
    <w:rsid w:val="00E80C67"/>
    <w:rsid w:val="00E81FB4"/>
    <w:rsid w:val="00E8277F"/>
    <w:rsid w:val="00E84EE2"/>
    <w:rsid w:val="00E87A42"/>
    <w:rsid w:val="00E909EB"/>
    <w:rsid w:val="00EB436B"/>
    <w:rsid w:val="00EB479E"/>
    <w:rsid w:val="00EB64E1"/>
    <w:rsid w:val="00EB7FF3"/>
    <w:rsid w:val="00EC0250"/>
    <w:rsid w:val="00EC2C13"/>
    <w:rsid w:val="00EC3BA0"/>
    <w:rsid w:val="00EC4BF4"/>
    <w:rsid w:val="00EC7276"/>
    <w:rsid w:val="00ED0022"/>
    <w:rsid w:val="00ED271C"/>
    <w:rsid w:val="00ED2CDF"/>
    <w:rsid w:val="00ED3791"/>
    <w:rsid w:val="00ED3D3A"/>
    <w:rsid w:val="00ED4A63"/>
    <w:rsid w:val="00EE2959"/>
    <w:rsid w:val="00EE2AFE"/>
    <w:rsid w:val="00EE5772"/>
    <w:rsid w:val="00EE58E9"/>
    <w:rsid w:val="00EF62CF"/>
    <w:rsid w:val="00F032CE"/>
    <w:rsid w:val="00F059A5"/>
    <w:rsid w:val="00F05C7D"/>
    <w:rsid w:val="00F05F64"/>
    <w:rsid w:val="00F11976"/>
    <w:rsid w:val="00F14A4B"/>
    <w:rsid w:val="00F1703E"/>
    <w:rsid w:val="00F23402"/>
    <w:rsid w:val="00F27CED"/>
    <w:rsid w:val="00F35D61"/>
    <w:rsid w:val="00F40598"/>
    <w:rsid w:val="00F413D7"/>
    <w:rsid w:val="00F43028"/>
    <w:rsid w:val="00F447E7"/>
    <w:rsid w:val="00F55748"/>
    <w:rsid w:val="00F55BF3"/>
    <w:rsid w:val="00F5766C"/>
    <w:rsid w:val="00F6085B"/>
    <w:rsid w:val="00F64818"/>
    <w:rsid w:val="00F6794E"/>
    <w:rsid w:val="00F70EBB"/>
    <w:rsid w:val="00F71BFE"/>
    <w:rsid w:val="00F7329B"/>
    <w:rsid w:val="00F75DDD"/>
    <w:rsid w:val="00F763F8"/>
    <w:rsid w:val="00F771E6"/>
    <w:rsid w:val="00F773AC"/>
    <w:rsid w:val="00F775A4"/>
    <w:rsid w:val="00F80D25"/>
    <w:rsid w:val="00F818B4"/>
    <w:rsid w:val="00F81DD2"/>
    <w:rsid w:val="00F83013"/>
    <w:rsid w:val="00F84D8B"/>
    <w:rsid w:val="00F916B0"/>
    <w:rsid w:val="00F91EDF"/>
    <w:rsid w:val="00F920E6"/>
    <w:rsid w:val="00F967A9"/>
    <w:rsid w:val="00FA0A03"/>
    <w:rsid w:val="00FA356F"/>
    <w:rsid w:val="00FA63E3"/>
    <w:rsid w:val="00FA683E"/>
    <w:rsid w:val="00FA7960"/>
    <w:rsid w:val="00FB50FA"/>
    <w:rsid w:val="00FB52FA"/>
    <w:rsid w:val="00FB729E"/>
    <w:rsid w:val="00FC506E"/>
    <w:rsid w:val="00FC7C76"/>
    <w:rsid w:val="00FD16FB"/>
    <w:rsid w:val="00FD2637"/>
    <w:rsid w:val="00FD2AF0"/>
    <w:rsid w:val="00FD32C4"/>
    <w:rsid w:val="00FD5ABF"/>
    <w:rsid w:val="00FE185C"/>
    <w:rsid w:val="00FE1E4D"/>
    <w:rsid w:val="00FE3B27"/>
    <w:rsid w:val="00FE4062"/>
    <w:rsid w:val="00FF0025"/>
    <w:rsid w:val="00FF527B"/>
    <w:rsid w:val="00FF6059"/>
    <w:rsid w:val="025C2AC5"/>
    <w:rsid w:val="033E271E"/>
    <w:rsid w:val="05102FDF"/>
    <w:rsid w:val="06F54FF7"/>
    <w:rsid w:val="075F48CC"/>
    <w:rsid w:val="0CC32725"/>
    <w:rsid w:val="0DD834DC"/>
    <w:rsid w:val="108C2EFD"/>
    <w:rsid w:val="120B7375"/>
    <w:rsid w:val="13477178"/>
    <w:rsid w:val="155942CA"/>
    <w:rsid w:val="16C119C8"/>
    <w:rsid w:val="172A5A24"/>
    <w:rsid w:val="195A54FE"/>
    <w:rsid w:val="1FBD13A3"/>
    <w:rsid w:val="201025BC"/>
    <w:rsid w:val="227B1194"/>
    <w:rsid w:val="240D46A2"/>
    <w:rsid w:val="29114058"/>
    <w:rsid w:val="29C05195"/>
    <w:rsid w:val="2E9077CD"/>
    <w:rsid w:val="2F124981"/>
    <w:rsid w:val="2F926133"/>
    <w:rsid w:val="30632385"/>
    <w:rsid w:val="31083B61"/>
    <w:rsid w:val="322E121C"/>
    <w:rsid w:val="357F3357"/>
    <w:rsid w:val="38F13C77"/>
    <w:rsid w:val="3AE28A92"/>
    <w:rsid w:val="3BDCB297"/>
    <w:rsid w:val="3D0F2460"/>
    <w:rsid w:val="406F4D65"/>
    <w:rsid w:val="443B19F0"/>
    <w:rsid w:val="456A1FB3"/>
    <w:rsid w:val="4B0A7576"/>
    <w:rsid w:val="4BB943B0"/>
    <w:rsid w:val="4E0156D0"/>
    <w:rsid w:val="509D4ADA"/>
    <w:rsid w:val="56937578"/>
    <w:rsid w:val="5AFC0DE8"/>
    <w:rsid w:val="5E526DBA"/>
    <w:rsid w:val="5EEE3172"/>
    <w:rsid w:val="5F7B0136"/>
    <w:rsid w:val="5FE91CBA"/>
    <w:rsid w:val="63B02BB1"/>
    <w:rsid w:val="63BE1736"/>
    <w:rsid w:val="64D72173"/>
    <w:rsid w:val="68155559"/>
    <w:rsid w:val="69416395"/>
    <w:rsid w:val="69E4555E"/>
    <w:rsid w:val="6ADD3D5C"/>
    <w:rsid w:val="6B3F55DE"/>
    <w:rsid w:val="716C78FB"/>
    <w:rsid w:val="761B6D3D"/>
    <w:rsid w:val="770B15DB"/>
    <w:rsid w:val="7A593D94"/>
    <w:rsid w:val="7A5E5524"/>
    <w:rsid w:val="7B7C31CD"/>
    <w:rsid w:val="7BD6763A"/>
    <w:rsid w:val="7DF678B7"/>
    <w:rsid w:val="7DF8A591"/>
    <w:rsid w:val="7E3105F0"/>
    <w:rsid w:val="7ECD33D6"/>
    <w:rsid w:val="7FCFC57F"/>
    <w:rsid w:val="AEFF5791"/>
    <w:rsid w:val="DDDFEB63"/>
    <w:rsid w:val="DF9F249F"/>
    <w:rsid w:val="DFF94750"/>
    <w:rsid w:val="DFFC1616"/>
    <w:rsid w:val="FBF33738"/>
    <w:rsid w:val="FBFDB070"/>
    <w:rsid w:val="FC7B62E8"/>
    <w:rsid w:val="FD6F03D0"/>
    <w:rsid w:val="FF1A69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sz w:val="32"/>
      <w:lang w:val="en-US" w:eastAsia="zh-CN" w:bidi="ar-SA"/>
    </w:rPr>
  </w:style>
  <w:style w:type="paragraph" w:styleId="2">
    <w:name w:val="heading 2"/>
    <w:basedOn w:val="1"/>
    <w:next w:val="1"/>
    <w:link w:val="23"/>
    <w:qFormat/>
    <w:uiPriority w:val="0"/>
    <w:pPr>
      <w:keepNext/>
      <w:keepLines/>
      <w:widowControl w:val="0"/>
      <w:spacing w:before="260" w:after="260" w:line="413" w:lineRule="auto"/>
      <w:outlineLvl w:val="1"/>
    </w:pPr>
    <w:rPr>
      <w:rFonts w:ascii="Arial" w:hAnsi="Arial" w:eastAsia="黑体"/>
      <w:b/>
      <w:kern w:val="2"/>
      <w:szCs w:val="24"/>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24"/>
    <w:qFormat/>
    <w:uiPriority w:val="0"/>
    <w:pPr>
      <w:widowControl w:val="0"/>
    </w:pPr>
    <w:rPr>
      <w:rFonts w:ascii="黑体"/>
      <w:b/>
      <w:kern w:val="2"/>
    </w:rPr>
  </w:style>
  <w:style w:type="paragraph" w:styleId="4">
    <w:name w:val="Body Text Indent"/>
    <w:basedOn w:val="1"/>
    <w:link w:val="30"/>
    <w:unhideWhenUsed/>
    <w:qFormat/>
    <w:uiPriority w:val="99"/>
    <w:pPr>
      <w:spacing w:after="120"/>
      <w:ind w:left="420" w:leftChars="200"/>
    </w:pPr>
  </w:style>
  <w:style w:type="paragraph" w:styleId="5">
    <w:name w:val="Plain Text"/>
    <w:basedOn w:val="1"/>
    <w:link w:val="32"/>
    <w:qFormat/>
    <w:uiPriority w:val="0"/>
    <w:pPr>
      <w:widowControl w:val="0"/>
    </w:pPr>
    <w:rPr>
      <w:rFonts w:ascii="宋体" w:hAnsi="Courier New" w:eastAsia="宋体"/>
      <w:kern w:val="2"/>
      <w:sz w:val="21"/>
      <w:szCs w:val="24"/>
    </w:rPr>
  </w:style>
  <w:style w:type="paragraph" w:styleId="6">
    <w:name w:val="Date"/>
    <w:basedOn w:val="1"/>
    <w:next w:val="1"/>
    <w:link w:val="20"/>
    <w:unhideWhenUsed/>
    <w:qFormat/>
    <w:uiPriority w:val="99"/>
    <w:pPr>
      <w:ind w:left="100" w:leftChars="2500"/>
    </w:pPr>
  </w:style>
  <w:style w:type="paragraph" w:styleId="7">
    <w:name w:val="Balloon Text"/>
    <w:basedOn w:val="1"/>
    <w:link w:val="21"/>
    <w:unhideWhenUsed/>
    <w:qFormat/>
    <w:uiPriority w:val="0"/>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Body Text First Indent 2"/>
    <w:basedOn w:val="4"/>
    <w:link w:val="31"/>
    <w:unhideWhenUsed/>
    <w:qFormat/>
    <w:uiPriority w:val="99"/>
    <w:pPr>
      <w:ind w:firstLine="420" w:firstLineChars="200"/>
    </w:p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val="0"/>
      <w:spacing w:before="100" w:beforeAutospacing="1" w:after="100" w:afterAutospacing="1"/>
      <w:jc w:val="left"/>
    </w:pPr>
    <w:rPr>
      <w:rFonts w:ascii="宋体" w:hAnsi="宋体" w:eastAsia="宋体" w:cs="宋体"/>
      <w:kern w:val="2"/>
      <w:sz w:val="24"/>
      <w:szCs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99"/>
    <w:rPr>
      <w:color w:val="0000FF"/>
      <w:u w:val="single"/>
    </w:rPr>
  </w:style>
  <w:style w:type="table" w:styleId="17">
    <w:name w:val="Table Grid"/>
    <w:basedOn w:val="16"/>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字符"/>
    <w:basedOn w:val="12"/>
    <w:link w:val="10"/>
    <w:qFormat/>
    <w:uiPriority w:val="99"/>
    <w:rPr>
      <w:kern w:val="0"/>
      <w:sz w:val="18"/>
      <w:szCs w:val="18"/>
    </w:rPr>
  </w:style>
  <w:style w:type="character" w:customStyle="1" w:styleId="19">
    <w:name w:val="页脚 字符"/>
    <w:basedOn w:val="12"/>
    <w:link w:val="8"/>
    <w:qFormat/>
    <w:uiPriority w:val="99"/>
    <w:rPr>
      <w:kern w:val="0"/>
      <w:sz w:val="18"/>
      <w:szCs w:val="18"/>
    </w:rPr>
  </w:style>
  <w:style w:type="character" w:customStyle="1" w:styleId="20">
    <w:name w:val="日期 字符"/>
    <w:basedOn w:val="12"/>
    <w:link w:val="6"/>
    <w:semiHidden/>
    <w:qFormat/>
    <w:uiPriority w:val="99"/>
    <w:rPr>
      <w:kern w:val="0"/>
      <w:szCs w:val="20"/>
    </w:rPr>
  </w:style>
  <w:style w:type="character" w:customStyle="1" w:styleId="21">
    <w:name w:val="批注框文本 字符"/>
    <w:basedOn w:val="12"/>
    <w:link w:val="7"/>
    <w:semiHidden/>
    <w:qFormat/>
    <w:uiPriority w:val="99"/>
    <w:rPr>
      <w:kern w:val="0"/>
      <w:sz w:val="18"/>
      <w:szCs w:val="18"/>
    </w:rPr>
  </w:style>
  <w:style w:type="paragraph" w:customStyle="1" w:styleId="22">
    <w:name w:val="List Paragraph"/>
    <w:basedOn w:val="1"/>
    <w:qFormat/>
    <w:uiPriority w:val="34"/>
    <w:pPr>
      <w:ind w:firstLine="420" w:firstLineChars="200"/>
    </w:pPr>
  </w:style>
  <w:style w:type="character" w:customStyle="1" w:styleId="23">
    <w:name w:val="标题 2 字符"/>
    <w:basedOn w:val="12"/>
    <w:link w:val="2"/>
    <w:qFormat/>
    <w:uiPriority w:val="0"/>
    <w:rPr>
      <w:rFonts w:ascii="Arial" w:hAnsi="Arial" w:eastAsia="黑体"/>
      <w:b/>
      <w:szCs w:val="24"/>
    </w:rPr>
  </w:style>
  <w:style w:type="character" w:customStyle="1" w:styleId="24">
    <w:name w:val="正文文本 字符"/>
    <w:basedOn w:val="12"/>
    <w:link w:val="3"/>
    <w:qFormat/>
    <w:uiPriority w:val="0"/>
    <w:rPr>
      <w:rFonts w:ascii="黑体"/>
      <w:b/>
      <w:szCs w:val="20"/>
    </w:rPr>
  </w:style>
  <w:style w:type="paragraph" w:customStyle="1"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NormalCharacter"/>
    <w:semiHidden/>
    <w:qFormat/>
    <w:uiPriority w:val="0"/>
  </w:style>
  <w:style w:type="character" w:customStyle="1" w:styleId="27">
    <w:name w:val="Body text|1_"/>
    <w:basedOn w:val="12"/>
    <w:link w:val="28"/>
    <w:qFormat/>
    <w:uiPriority w:val="0"/>
    <w:rPr>
      <w:rFonts w:ascii="宋体" w:hAnsi="宋体" w:eastAsia="宋体" w:cs="宋体"/>
      <w:lang w:val="zh-TW" w:eastAsia="zh-TW" w:bidi="zh-TW"/>
    </w:rPr>
  </w:style>
  <w:style w:type="paragraph" w:customStyle="1" w:styleId="28">
    <w:name w:val="Body text|1"/>
    <w:basedOn w:val="1"/>
    <w:link w:val="27"/>
    <w:qFormat/>
    <w:uiPriority w:val="0"/>
    <w:pPr>
      <w:widowControl w:val="0"/>
      <w:spacing w:line="451" w:lineRule="auto"/>
      <w:ind w:firstLine="400"/>
      <w:jc w:val="left"/>
    </w:pPr>
    <w:rPr>
      <w:rFonts w:ascii="宋体" w:hAnsi="宋体" w:eastAsia="宋体" w:cs="宋体"/>
      <w:kern w:val="2"/>
      <w:szCs w:val="32"/>
      <w:lang w:val="zh-TW" w:eastAsia="zh-TW" w:bidi="zh-TW"/>
    </w:rPr>
  </w:style>
  <w:style w:type="paragraph" w:customStyle="1" w:styleId="29">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正文文本缩进 字符"/>
    <w:basedOn w:val="12"/>
    <w:link w:val="4"/>
    <w:semiHidden/>
    <w:qFormat/>
    <w:uiPriority w:val="99"/>
    <w:rPr>
      <w:sz w:val="32"/>
    </w:rPr>
  </w:style>
  <w:style w:type="character" w:customStyle="1" w:styleId="31">
    <w:name w:val="正文文本首行缩进 2 字符"/>
    <w:basedOn w:val="30"/>
    <w:link w:val="9"/>
    <w:semiHidden/>
    <w:qFormat/>
    <w:uiPriority w:val="99"/>
    <w:rPr>
      <w:sz w:val="32"/>
    </w:rPr>
  </w:style>
  <w:style w:type="character" w:customStyle="1" w:styleId="32">
    <w:name w:val="纯文本 字符"/>
    <w:basedOn w:val="12"/>
    <w:link w:val="5"/>
    <w:qFormat/>
    <w:uiPriority w:val="0"/>
    <w:rPr>
      <w:rFonts w:ascii="宋体" w:hAnsi="Courier New" w:eastAsia="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4304</Words>
  <Characters>4446</Characters>
  <Lines>38</Lines>
  <Paragraphs>10</Paragraphs>
  <ScaleCrop>false</ScaleCrop>
  <LinksUpToDate>false</LinksUpToDate>
  <CharactersWithSpaces>4592</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2023-07-26T07:49:00Z</dcterms:created>
  <dc:creator>黄威</dc:creator>
  <cp:lastModifiedBy>Administrator</cp:lastModifiedBy>
  <cp:lastPrinted>2024-11-08T01:22:00Z</cp:lastPrinted>
  <dcterms:modified xsi:type="dcterms:W3CDTF">2024-11-11T01:20:08Z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7CF3810FBD3549FDB1C4054D7BC76B33_12</vt:lpwstr>
  </property>
</Properties>
</file>