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4FAF" w14:textId="77777777" w:rsidR="00E46DA7" w:rsidRDefault="00B067D2">
      <w:pPr>
        <w:pStyle w:val="afa"/>
        <w:framePr w:wrap="around"/>
        <w:spacing w:before="57"/>
        <w:ind w:left="142"/>
        <w:rPr>
          <w:rFonts w:hAnsi="黑体"/>
        </w:rPr>
      </w:pPr>
      <w:r>
        <w:rPr>
          <w:rFonts w:hAnsi="黑体"/>
        </w:rPr>
        <w:t>ICS</w:t>
      </w:r>
      <w:r>
        <w:rPr>
          <w:rFonts w:hAnsi="黑体" w:hint="eastAsia"/>
        </w:rPr>
        <w:t xml:space="preserve"> 03.200</w:t>
      </w:r>
    </w:p>
    <w:p w14:paraId="315DBC39" w14:textId="77777777" w:rsidR="00E46DA7" w:rsidRDefault="00B067D2">
      <w:pPr>
        <w:pStyle w:val="afa"/>
        <w:framePr w:wrap="around"/>
        <w:ind w:left="142"/>
        <w:rPr>
          <w:rFonts w:hAnsi="黑体"/>
        </w:rPr>
      </w:pPr>
      <w:r>
        <w:rPr>
          <w:rFonts w:hAnsi="黑体" w:hint="eastAsia"/>
        </w:rPr>
        <w:t>CCS S 90</w:t>
      </w:r>
    </w:p>
    <w:p w14:paraId="740AB3C4" w14:textId="77777777" w:rsidR="00E46DA7" w:rsidRDefault="00E46DA7">
      <w:pPr>
        <w:pStyle w:val="afa"/>
        <w:framePr w:wrap="around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E46DA7" w14:paraId="50D8502B" w14:textId="7777777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56F8" w14:textId="77777777" w:rsidR="00E46DA7" w:rsidRDefault="00B067D2">
            <w:pPr>
              <w:pStyle w:val="afa"/>
              <w:framePr w:wrap="around"/>
            </w:pPr>
            <w:r>
              <w:pict w14:anchorId="32447353">
                <v:rect id="BAH" o:spid="_x0000_s2085" style="position:absolute;margin-left:-5.25pt;margin-top:0;width:68.25pt;height:15.6pt;z-index:-251651072;mso-width-relative:page;mso-height-relative:page" stroked="f"/>
              </w:pict>
            </w:r>
          </w:p>
        </w:tc>
      </w:tr>
    </w:tbl>
    <w:p w14:paraId="158866ED" w14:textId="77777777" w:rsidR="00E46DA7" w:rsidRDefault="00B067D2">
      <w:pPr>
        <w:pStyle w:val="af7"/>
        <w:framePr w:wrap="around"/>
      </w:pPr>
      <w:r>
        <w:t>DB</w:t>
      </w:r>
      <w:r>
        <w:rPr>
          <w:rFonts w:hint="eastAsia"/>
        </w:rPr>
        <w:t>21</w:t>
      </w:r>
    </w:p>
    <w:p w14:paraId="2CE15BC1" w14:textId="77777777" w:rsidR="00E46DA7" w:rsidRDefault="00B067D2">
      <w:pPr>
        <w:pStyle w:val="af8"/>
        <w:framePr w:wrap="around"/>
      </w:pPr>
      <w:r>
        <w:rPr>
          <w:rFonts w:hint="eastAsia"/>
        </w:rPr>
        <w:t>辽宁省地方标准</w:t>
      </w:r>
    </w:p>
    <w:p w14:paraId="5C89C3CB" w14:textId="77777777" w:rsidR="00E46DA7" w:rsidRDefault="00B067D2">
      <w:pPr>
        <w:pStyle w:val="21"/>
        <w:framePr w:wrap="around"/>
        <w:rPr>
          <w:rFonts w:hAnsi="黑体"/>
        </w:rPr>
      </w:pPr>
      <w:r>
        <w:rPr>
          <w:rFonts w:ascii="Times New Roman"/>
        </w:rPr>
        <w:t>DB</w:t>
      </w:r>
      <w:r>
        <w:rPr>
          <w:rFonts w:hAnsi="黑体" w:hint="eastAsia"/>
        </w:rPr>
        <w:t>21</w:t>
      </w:r>
      <w:r>
        <w:rPr>
          <w:rFonts w:hAnsi="黑体"/>
        </w:rPr>
        <w:t>/</w:t>
      </w:r>
      <w:r>
        <w:rPr>
          <w:rFonts w:hAnsi="黑体" w:hint="eastAsia"/>
        </w:rPr>
        <w:t>T</w:t>
      </w:r>
      <w:r>
        <w:rPr>
          <w:rFonts w:hAnsi="黑体"/>
        </w:rPr>
        <w:t xml:space="preserve"> </w:t>
      </w:r>
      <w:bookmarkStart w:id="0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0"/>
      <w:r>
        <w:rPr>
          <w:rFonts w:hAnsi="黑体"/>
        </w:rPr>
        <w:t>—</w:t>
      </w:r>
      <w:bookmarkStart w:id="1" w:name="StdNo2"/>
      <w:r>
        <w:rPr>
          <w:rFonts w:hAnsi="黑体" w:hint="eastAsia"/>
        </w:rPr>
        <w:t>20</w:t>
      </w:r>
      <w:bookmarkEnd w:id="1"/>
      <w:r>
        <w:rPr>
          <w:rFonts w:hAnsi="黑体" w:hint="eastAsia"/>
        </w:rPr>
        <w:t>21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46DA7" w14:paraId="41542B7E" w14:textId="7777777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923EE" w14:textId="77777777" w:rsidR="00E46DA7" w:rsidRDefault="00B067D2">
            <w:pPr>
              <w:pStyle w:val="af3"/>
              <w:framePr w:wrap="around"/>
            </w:pPr>
            <w:bookmarkStart w:id="2" w:name="DT"/>
            <w:r>
              <w:pict w14:anchorId="0708F353">
                <v:rect id="DT" o:spid="_x0000_s2074" style="position:absolute;left:0;text-align:left;margin-left:372.8pt;margin-top:2.7pt;width:90pt;height:18pt;z-index:-251655168;mso-width-relative:page;mso-height-relative:page" stroked="f"/>
              </w:pict>
            </w:r>
            <w:bookmarkEnd w:id="2"/>
          </w:p>
        </w:tc>
      </w:tr>
    </w:tbl>
    <w:p w14:paraId="551545EE" w14:textId="77777777" w:rsidR="00E46DA7" w:rsidRDefault="00E46DA7">
      <w:pPr>
        <w:pStyle w:val="21"/>
        <w:framePr w:wrap="around"/>
        <w:rPr>
          <w:rFonts w:hAnsi="黑体"/>
        </w:rPr>
      </w:pPr>
    </w:p>
    <w:p w14:paraId="2C28AE67" w14:textId="77777777" w:rsidR="00E46DA7" w:rsidRDefault="00E46DA7">
      <w:pPr>
        <w:pStyle w:val="21"/>
        <w:framePr w:wrap="around"/>
        <w:rPr>
          <w:rFonts w:hAnsi="黑体"/>
        </w:rPr>
      </w:pPr>
    </w:p>
    <w:p w14:paraId="2FB77152" w14:textId="77777777" w:rsidR="00E46DA7" w:rsidRDefault="00B067D2">
      <w:pPr>
        <w:framePr w:w="9639" w:h="6917" w:hRule="exact" w:wrap="around" w:vAnchor="page" w:hAnchor="page" w:xAlign="center" w:y="6408" w:anchorLock="1"/>
        <w:spacing w:line="240" w:lineRule="auto"/>
        <w:jc w:val="center"/>
        <w:rPr>
          <w:rFonts w:ascii="黑体" w:hAnsi="黑体" w:cs="黑体"/>
          <w:spacing w:val="-6"/>
          <w:sz w:val="52"/>
          <w:szCs w:val="52"/>
        </w:rPr>
      </w:pPr>
      <w:bookmarkStart w:id="3" w:name="StdEnglishName"/>
      <w:r>
        <w:rPr>
          <w:rFonts w:ascii="黑体" w:eastAsia="黑体" w:hAnsi="黑体" w:cs="黑体" w:hint="eastAsia"/>
          <w:spacing w:val="-6"/>
          <w:sz w:val="52"/>
          <w:szCs w:val="52"/>
        </w:rPr>
        <w:t>绿色</w:t>
      </w:r>
      <w:r>
        <w:rPr>
          <w:rFonts w:ascii="黑体" w:eastAsia="黑体" w:hAnsi="黑体" w:cs="黑体"/>
          <w:spacing w:val="-6"/>
          <w:sz w:val="52"/>
          <w:szCs w:val="52"/>
        </w:rPr>
        <w:t>城市配送</w:t>
      </w:r>
      <w:r>
        <w:rPr>
          <w:rFonts w:ascii="黑体" w:eastAsia="黑体" w:hAnsi="黑体" w:cs="黑体" w:hint="eastAsia"/>
          <w:spacing w:val="-6"/>
          <w:sz w:val="52"/>
          <w:szCs w:val="52"/>
        </w:rPr>
        <w:t>管理</w:t>
      </w:r>
      <w:r>
        <w:rPr>
          <w:rFonts w:ascii="黑体" w:eastAsia="黑体" w:hAnsi="黑体" w:cs="黑体"/>
          <w:spacing w:val="-6"/>
          <w:sz w:val="52"/>
          <w:szCs w:val="52"/>
        </w:rPr>
        <w:t>规范</w:t>
      </w:r>
    </w:p>
    <w:bookmarkEnd w:id="3"/>
    <w:p w14:paraId="2B8330B4" w14:textId="77777777" w:rsidR="00E46DA7" w:rsidRDefault="00E46DA7">
      <w:pPr>
        <w:framePr w:w="9639" w:h="6917" w:hRule="exact" w:wrap="around" w:vAnchor="page" w:hAnchor="page" w:xAlign="center" w:y="6408" w:anchorLock="1"/>
        <w:spacing w:after="0" w:line="240" w:lineRule="auto"/>
        <w:ind w:left="2554"/>
        <w:jc w:val="center"/>
      </w:pPr>
    </w:p>
    <w:p w14:paraId="62F04207" w14:textId="77777777" w:rsidR="00E46DA7" w:rsidRDefault="00B067D2">
      <w:pPr>
        <w:framePr w:w="9639" w:h="6917" w:hRule="exact" w:wrap="around" w:vAnchor="page" w:hAnchor="page" w:xAlign="center" w:y="6408" w:anchorLock="1"/>
        <w:spacing w:after="0" w:line="240" w:lineRule="auto"/>
        <w:jc w:val="center"/>
        <w:rPr>
          <w:rFonts w:ascii="宋体" w:eastAsia="宋体" w:hAnsi="宋体"/>
        </w:rPr>
      </w:pPr>
      <w:r>
        <w:rPr>
          <w:rFonts w:ascii="宋体" w:eastAsia="宋体" w:hAnsi="宋体" w:cs="宋体"/>
          <w:spacing w:val="-6"/>
          <w:sz w:val="28"/>
        </w:rPr>
        <w:t>（</w:t>
      </w:r>
      <w:r>
        <w:rPr>
          <w:rFonts w:ascii="宋体" w:eastAsia="宋体" w:hAnsi="宋体" w:cs="宋体" w:hint="eastAsia"/>
          <w:spacing w:val="-6"/>
          <w:sz w:val="28"/>
        </w:rPr>
        <w:t>征求意见稿</w:t>
      </w:r>
      <w:r>
        <w:rPr>
          <w:rFonts w:ascii="宋体" w:eastAsia="宋体" w:hAnsi="宋体" w:cs="宋体"/>
          <w:spacing w:val="-6"/>
          <w:sz w:val="28"/>
        </w:rPr>
        <w:t>）</w:t>
      </w:r>
    </w:p>
    <w:p w14:paraId="3622022D" w14:textId="77777777" w:rsidR="00E46DA7" w:rsidRDefault="00E46DA7">
      <w:pPr>
        <w:pStyle w:val="af4"/>
        <w:framePr w:wrap="around"/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E46DA7" w14:paraId="7240A081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46F2" w14:textId="77777777" w:rsidR="00E46DA7" w:rsidRDefault="00B067D2">
            <w:pPr>
              <w:pStyle w:val="af5"/>
              <w:framePr w:wrap="around"/>
            </w:pPr>
            <w:r>
              <w:pict w14:anchorId="7D6B6528">
                <v:rect id="RQ" o:spid="_x0000_s2076" style="position:absolute;left:0;text-align:left;margin-left:173.3pt;margin-top:45.15pt;width:150pt;height:20pt;z-index:-251653120;mso-width-relative:page;mso-height-relative:page" stroked="f">
                  <w10:anchorlock/>
                </v:rect>
              </w:pict>
            </w:r>
            <w:r>
              <w:pict w14:anchorId="1C149D9A">
                <v:rect id="LB" o:spid="_x0000_s2075" style="position:absolute;left:0;text-align:left;margin-left:193.3pt;margin-top:20.15pt;width:100pt;height:24pt;z-index:-251654144;mso-width-relative:page;mso-height-relative:page" stroked="f"/>
              </w:pict>
            </w:r>
          </w:p>
        </w:tc>
      </w:tr>
      <w:tr w:rsidR="00E46DA7" w14:paraId="0DDF5833" w14:textId="777777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78F7" w14:textId="77777777" w:rsidR="00E46DA7" w:rsidRDefault="00E46DA7">
            <w:pPr>
              <w:pStyle w:val="af6"/>
              <w:framePr w:wrap="around"/>
            </w:pPr>
          </w:p>
        </w:tc>
      </w:tr>
    </w:tbl>
    <w:bookmarkStart w:id="4" w:name="FY"/>
    <w:p w14:paraId="4C476668" w14:textId="77777777" w:rsidR="00E46DA7" w:rsidRDefault="00B067D2">
      <w:pPr>
        <w:pStyle w:val="afb"/>
        <w:framePr w:wrap="around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4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5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5"/>
      <w:r>
        <w:rPr>
          <w:rFonts w:hint="eastAsia"/>
        </w:rPr>
        <w:t>发布</w:t>
      </w:r>
      <w:r>
        <w:pict w14:anchorId="5DEEF057">
          <v:line id="_x0000_s2073" style="position:absolute;z-index:251660288;mso-position-horizontal-relative:text;mso-position-vertical-relative:page;mso-width-relative:page;mso-height-relative:page" from="-.05pt,728.5pt" to="481.85pt,728.5pt">
            <w10:wrap anchory="page"/>
            <w10:anchorlock/>
          </v:line>
        </w:pict>
      </w:r>
    </w:p>
    <w:bookmarkStart w:id="6" w:name="SY"/>
    <w:p w14:paraId="6A30815D" w14:textId="77777777" w:rsidR="00E46DA7" w:rsidRDefault="00B067D2">
      <w:pPr>
        <w:pStyle w:val="afc"/>
        <w:framePr w:wrap="around"/>
      </w:pPr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6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7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7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8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8"/>
      <w:r>
        <w:rPr>
          <w:rFonts w:hint="eastAsia"/>
        </w:rPr>
        <w:t>实施</w:t>
      </w:r>
    </w:p>
    <w:p w14:paraId="61DFC7F7" w14:textId="77777777" w:rsidR="00E46DA7" w:rsidRDefault="00B067D2">
      <w:pPr>
        <w:pStyle w:val="af9"/>
        <w:framePr w:wrap="around"/>
      </w:pPr>
      <w:r>
        <w:rPr>
          <w:rFonts w:hint="eastAsia"/>
        </w:rPr>
        <w:t>辽宁省市场监督管理局</w:t>
      </w:r>
      <w:r>
        <w:rPr>
          <w:rFonts w:hAnsi="黑体"/>
        </w:rPr>
        <w:t>   </w:t>
      </w:r>
      <w:r>
        <w:rPr>
          <w:rStyle w:val="af2"/>
          <w:rFonts w:hint="eastAsia"/>
        </w:rPr>
        <w:t>发布</w:t>
      </w:r>
    </w:p>
    <w:p w14:paraId="6107403F" w14:textId="77777777" w:rsidR="00E46DA7" w:rsidRDefault="00B067D2">
      <w:pPr>
        <w:widowControl/>
        <w:ind w:rightChars="19" w:right="40"/>
        <w:sectPr w:rsidR="00E46D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9"/>
          <w:pgMar w:top="568" w:right="1133" w:bottom="552" w:left="1418" w:header="0" w:footer="0" w:gutter="0"/>
          <w:pgNumType w:start="2"/>
          <w:cols w:space="720" w:equalWidth="0">
            <w:col w:w="9355"/>
          </w:cols>
          <w:titlePg/>
          <w:docGrid w:type="lines" w:linePitch="312"/>
        </w:sectPr>
      </w:pPr>
      <w:r>
        <w:pict w14:anchorId="328719D1">
          <v:line id="_x0000_s2084" style="position:absolute;z-index:251664384;mso-width-relative:page;mso-height-relative:page" from="-.1pt,184.2pt" to="481.8pt,184.2pt"/>
        </w:pict>
      </w:r>
    </w:p>
    <w:p w14:paraId="6E3891D7" w14:textId="77777777" w:rsidR="00E46DA7" w:rsidRDefault="00B067D2">
      <w:pPr>
        <w:tabs>
          <w:tab w:val="left" w:pos="4373"/>
        </w:tabs>
        <w:spacing w:before="300" w:after="240" w:line="240" w:lineRule="auto"/>
        <w:ind w:firstLine="3674"/>
        <w:outlineLvl w:val="0"/>
        <w:rPr>
          <w:rFonts w:ascii="黑体" w:eastAsia="黑体" w:hAnsi="黑体"/>
          <w:szCs w:val="21"/>
        </w:rPr>
      </w:pPr>
      <w:bookmarkStart w:id="9" w:name="2"/>
      <w:bookmarkStart w:id="10" w:name="_Toc24888"/>
      <w:bookmarkEnd w:id="9"/>
      <w:r>
        <w:rPr>
          <w:rFonts w:ascii="黑体" w:eastAsia="黑体" w:hAnsi="黑体" w:cs="黑体"/>
          <w:spacing w:val="-6"/>
          <w:sz w:val="32"/>
        </w:rPr>
        <w:lastRenderedPageBreak/>
        <w:t>目</w:t>
      </w:r>
      <w:r>
        <w:rPr>
          <w:rFonts w:ascii="黑体" w:eastAsia="黑体" w:hAnsi="黑体" w:cs="Calibri"/>
          <w:spacing w:val="-2"/>
        </w:rPr>
        <w:tab/>
      </w:r>
      <w:r>
        <w:rPr>
          <w:rFonts w:ascii="黑体" w:eastAsia="黑体" w:hAnsi="黑体" w:cs="黑体"/>
          <w:spacing w:val="-6"/>
          <w:sz w:val="32"/>
        </w:rPr>
        <w:t>次</w:t>
      </w:r>
      <w:bookmarkEnd w:id="10"/>
      <w:r>
        <w:rPr>
          <w:rFonts w:ascii="黑体" w:eastAsia="黑体" w:hAnsi="黑体"/>
        </w:rPr>
        <w:fldChar w:fldCharType="begin"/>
      </w:r>
      <w:r>
        <w:rPr>
          <w:rFonts w:ascii="黑体" w:eastAsia="黑体" w:hAnsi="黑体"/>
        </w:rPr>
        <w:instrText xml:space="preserve"> TOC \o "1-3" \h \z \u </w:instrText>
      </w:r>
      <w:r>
        <w:rPr>
          <w:rFonts w:ascii="黑体" w:eastAsia="黑体" w:hAnsi="黑体"/>
        </w:rPr>
        <w:fldChar w:fldCharType="separate"/>
      </w:r>
      <w:hyperlink w:anchor="_Toc87360248" w:history="1"/>
    </w:p>
    <w:p w14:paraId="0B3FE6F6" w14:textId="77777777" w:rsidR="00E46DA7" w:rsidRDefault="00B067D2">
      <w:pPr>
        <w:pStyle w:val="TOC1"/>
        <w:tabs>
          <w:tab w:val="right" w:leader="dot" w:pos="8777"/>
        </w:tabs>
        <w:rPr>
          <w:rStyle w:val="ae"/>
          <w:rFonts w:ascii="宋体" w:eastAsia="宋体" w:hAnsi="宋体"/>
          <w:szCs w:val="21"/>
        </w:rPr>
      </w:pPr>
      <w:hyperlink w:anchor="_Toc87360249" w:history="1"/>
      <w:hyperlink w:anchor="_Toc87360250" w:history="1">
        <w:r>
          <w:rPr>
            <w:rFonts w:ascii="宋体" w:eastAsia="宋体" w:hAnsi="宋体"/>
            <w:szCs w:val="21"/>
          </w:rPr>
          <w:t>1</w:t>
        </w:r>
        <w:r>
          <w:rPr>
            <w:rStyle w:val="ae"/>
            <w:rFonts w:ascii="宋体" w:eastAsia="宋体" w:hAnsi="宋体" w:hint="eastAsia"/>
            <w:szCs w:val="21"/>
          </w:rPr>
          <w:t xml:space="preserve">  </w:t>
        </w:r>
        <w:r>
          <w:rPr>
            <w:rStyle w:val="ae"/>
            <w:rFonts w:ascii="宋体" w:eastAsia="宋体" w:hAnsi="宋体" w:hint="eastAsia"/>
            <w:szCs w:val="21"/>
          </w:rPr>
          <w:t>范围</w:t>
        </w:r>
        <w:r>
          <w:rPr>
            <w:rStyle w:val="ae"/>
            <w:rFonts w:ascii="宋体" w:eastAsia="宋体" w:hAnsi="宋体"/>
            <w:szCs w:val="21"/>
          </w:rPr>
          <w:tab/>
        </w:r>
        <w:r>
          <w:rPr>
            <w:rStyle w:val="ae"/>
            <w:rFonts w:ascii="宋体" w:eastAsia="宋体" w:hAnsi="宋体"/>
            <w:szCs w:val="21"/>
          </w:rPr>
          <w:fldChar w:fldCharType="begin"/>
        </w:r>
        <w:r>
          <w:rPr>
            <w:rStyle w:val="ae"/>
            <w:rFonts w:ascii="宋体" w:eastAsia="宋体" w:hAnsi="宋体"/>
            <w:szCs w:val="21"/>
          </w:rPr>
          <w:instrText xml:space="preserve"> PAGEREF _Toc87360250 \h </w:instrText>
        </w:r>
        <w:r>
          <w:rPr>
            <w:rStyle w:val="ae"/>
            <w:rFonts w:ascii="宋体" w:eastAsia="宋体" w:hAnsi="宋体"/>
            <w:szCs w:val="21"/>
          </w:rPr>
        </w:r>
        <w:r>
          <w:rPr>
            <w:rStyle w:val="ae"/>
            <w:rFonts w:ascii="宋体" w:eastAsia="宋体" w:hAnsi="宋体"/>
            <w:szCs w:val="21"/>
          </w:rPr>
          <w:fldChar w:fldCharType="separate"/>
        </w:r>
        <w:r>
          <w:rPr>
            <w:rStyle w:val="ae"/>
            <w:rFonts w:ascii="宋体" w:eastAsia="宋体" w:hAnsi="宋体"/>
            <w:szCs w:val="21"/>
          </w:rPr>
          <w:t>1</w:t>
        </w:r>
        <w:r>
          <w:rPr>
            <w:rStyle w:val="ae"/>
            <w:rFonts w:ascii="宋体" w:eastAsia="宋体" w:hAnsi="宋体"/>
            <w:szCs w:val="21"/>
          </w:rPr>
          <w:fldChar w:fldCharType="end"/>
        </w:r>
      </w:hyperlink>
    </w:p>
    <w:p w14:paraId="2D8C169A" w14:textId="77777777" w:rsidR="00E46DA7" w:rsidRDefault="00B067D2">
      <w:pPr>
        <w:pStyle w:val="TOC1"/>
        <w:tabs>
          <w:tab w:val="right" w:leader="dot" w:pos="8777"/>
        </w:tabs>
        <w:rPr>
          <w:rFonts w:ascii="宋体" w:eastAsia="宋体" w:hAnsi="宋体"/>
          <w:szCs w:val="21"/>
        </w:rPr>
      </w:pPr>
      <w:hyperlink w:anchor="_Toc87360249" w:history="1">
        <w:r>
          <w:rPr>
            <w:rStyle w:val="ae"/>
            <w:rFonts w:ascii="宋体" w:eastAsia="宋体" w:hAnsi="宋体" w:hint="eastAsia"/>
            <w:szCs w:val="21"/>
          </w:rPr>
          <w:t xml:space="preserve">2  </w:t>
        </w:r>
        <w:r>
          <w:rPr>
            <w:rStyle w:val="ae"/>
            <w:rFonts w:ascii="宋体" w:eastAsia="宋体" w:hAnsi="宋体" w:hint="eastAsia"/>
            <w:szCs w:val="21"/>
          </w:rPr>
          <w:t>规范性引用</w:t>
        </w:r>
        <w:r>
          <w:rPr>
            <w:rStyle w:val="ae"/>
            <w:rFonts w:ascii="宋体" w:eastAsia="宋体" w:hAnsi="宋体" w:hint="eastAsia"/>
            <w:szCs w:val="21"/>
          </w:rPr>
          <w:t>文件</w:t>
        </w:r>
        <w:r>
          <w:rPr>
            <w:rFonts w:ascii="宋体" w:eastAsia="宋体" w:hAnsi="宋体"/>
            <w:szCs w:val="21"/>
          </w:rPr>
          <w:tab/>
        </w:r>
        <w:r>
          <w:rPr>
            <w:rFonts w:ascii="宋体" w:eastAsia="宋体" w:hAnsi="宋体" w:hint="eastAsia"/>
            <w:szCs w:val="21"/>
          </w:rPr>
          <w:t>1</w:t>
        </w:r>
      </w:hyperlink>
    </w:p>
    <w:p w14:paraId="724BE45D" w14:textId="77777777" w:rsidR="00E46DA7" w:rsidRDefault="00B067D2">
      <w:pPr>
        <w:pStyle w:val="TOC1"/>
        <w:tabs>
          <w:tab w:val="right" w:leader="dot" w:pos="8777"/>
        </w:tabs>
        <w:rPr>
          <w:rStyle w:val="ae"/>
          <w:rFonts w:ascii="宋体" w:eastAsia="宋体" w:hAnsi="宋体"/>
          <w:szCs w:val="21"/>
        </w:rPr>
      </w:pPr>
      <w:hyperlink w:anchor="_Toc87360252" w:history="1">
        <w:r>
          <w:rPr>
            <w:rFonts w:ascii="宋体" w:eastAsia="宋体" w:hAnsi="宋体" w:hint="eastAsia"/>
          </w:rPr>
          <w:t xml:space="preserve">3  </w:t>
        </w:r>
        <w:r>
          <w:rPr>
            <w:rFonts w:ascii="宋体" w:eastAsia="宋体" w:hAnsi="宋体" w:hint="eastAsia"/>
          </w:rPr>
          <w:t>术语和定义</w:t>
        </w:r>
        <w:r>
          <w:rPr>
            <w:rFonts w:ascii="宋体" w:eastAsia="宋体" w:hAnsi="宋体"/>
          </w:rPr>
          <w:tab/>
        </w:r>
        <w:r>
          <w:rPr>
            <w:rStyle w:val="ae"/>
            <w:rFonts w:ascii="宋体" w:eastAsia="宋体" w:hAnsi="宋体" w:hint="eastAsia"/>
            <w:szCs w:val="21"/>
          </w:rPr>
          <w:t>1</w:t>
        </w:r>
      </w:hyperlink>
    </w:p>
    <w:p w14:paraId="6484BC7E" w14:textId="77777777" w:rsidR="00E46DA7" w:rsidRDefault="00B067D2">
      <w:pPr>
        <w:pStyle w:val="TOC1"/>
        <w:tabs>
          <w:tab w:val="right" w:leader="dot" w:pos="8777"/>
        </w:tabs>
        <w:rPr>
          <w:rStyle w:val="ae"/>
          <w:rFonts w:ascii="宋体" w:eastAsia="宋体" w:hAnsi="宋体"/>
        </w:rPr>
      </w:pPr>
      <w:hyperlink w:anchor="_Toc87360258" w:history="1">
        <w:r>
          <w:rPr>
            <w:rFonts w:ascii="宋体" w:eastAsia="宋体" w:hAnsi="宋体"/>
            <w:szCs w:val="21"/>
          </w:rPr>
          <w:t>4</w:t>
        </w:r>
        <w:r>
          <w:rPr>
            <w:rStyle w:val="ae"/>
            <w:rFonts w:ascii="宋体" w:eastAsia="宋体" w:hAnsi="宋体" w:hint="eastAsia"/>
          </w:rPr>
          <w:t xml:space="preserve">  </w:t>
        </w:r>
        <w:r>
          <w:rPr>
            <w:rStyle w:val="ae"/>
            <w:rFonts w:ascii="宋体" w:eastAsia="宋体" w:hAnsi="宋体" w:hint="eastAsia"/>
          </w:rPr>
          <w:t>基本要求</w:t>
        </w:r>
        <w:r>
          <w:rPr>
            <w:rStyle w:val="ae"/>
            <w:rFonts w:ascii="宋体" w:eastAsia="宋体" w:hAnsi="宋体"/>
          </w:rPr>
          <w:tab/>
        </w:r>
        <w:r>
          <w:rPr>
            <w:rStyle w:val="ae"/>
            <w:rFonts w:ascii="宋体" w:eastAsia="宋体" w:hAnsi="宋体"/>
          </w:rPr>
          <w:fldChar w:fldCharType="begin"/>
        </w:r>
        <w:r>
          <w:rPr>
            <w:rStyle w:val="ae"/>
            <w:rFonts w:ascii="宋体" w:eastAsia="宋体" w:hAnsi="宋体"/>
          </w:rPr>
          <w:instrText xml:space="preserve"> PAGEREF _Toc87360258 \h </w:instrText>
        </w:r>
        <w:r>
          <w:rPr>
            <w:rStyle w:val="ae"/>
            <w:rFonts w:ascii="宋体" w:eastAsia="宋体" w:hAnsi="宋体"/>
          </w:rPr>
        </w:r>
        <w:r>
          <w:rPr>
            <w:rStyle w:val="ae"/>
            <w:rFonts w:ascii="宋体" w:eastAsia="宋体" w:hAnsi="宋体"/>
          </w:rPr>
          <w:fldChar w:fldCharType="separate"/>
        </w:r>
        <w:r>
          <w:rPr>
            <w:rStyle w:val="ae"/>
            <w:rFonts w:ascii="宋体" w:eastAsia="宋体" w:hAnsi="宋体"/>
          </w:rPr>
          <w:t>2</w:t>
        </w:r>
        <w:r>
          <w:rPr>
            <w:rStyle w:val="ae"/>
            <w:rFonts w:ascii="宋体" w:eastAsia="宋体" w:hAnsi="宋体"/>
          </w:rPr>
          <w:fldChar w:fldCharType="end"/>
        </w:r>
      </w:hyperlink>
    </w:p>
    <w:p w14:paraId="53401F97" w14:textId="77777777" w:rsidR="00E46DA7" w:rsidRDefault="00B067D2">
      <w:pPr>
        <w:pStyle w:val="TOC1"/>
        <w:tabs>
          <w:tab w:val="right" w:leader="dot" w:pos="8777"/>
        </w:tabs>
        <w:rPr>
          <w:rFonts w:ascii="宋体" w:eastAsia="宋体" w:hAnsi="宋体"/>
        </w:rPr>
      </w:pPr>
      <w:hyperlink w:anchor="_Toc87360261" w:history="1">
        <w:r>
          <w:rPr>
            <w:rFonts w:ascii="宋体" w:eastAsia="宋体" w:hAnsi="宋体" w:hint="eastAsia"/>
          </w:rPr>
          <w:t xml:space="preserve">5  </w:t>
        </w:r>
        <w:r>
          <w:rPr>
            <w:rFonts w:ascii="宋体" w:eastAsia="宋体" w:hAnsi="宋体" w:hint="eastAsia"/>
          </w:rPr>
          <w:t>绿色配送人员</w:t>
        </w:r>
        <w:r>
          <w:rPr>
            <w:rFonts w:ascii="宋体" w:eastAsia="宋体" w:hAnsi="宋体"/>
          </w:rPr>
          <w:tab/>
        </w:r>
        <w:r>
          <w:rPr>
            <w:rFonts w:ascii="宋体" w:eastAsia="宋体" w:hAnsi="宋体" w:hint="eastAsia"/>
          </w:rPr>
          <w:t>3</w:t>
        </w:r>
      </w:hyperlink>
    </w:p>
    <w:p w14:paraId="5E08BA52" w14:textId="77777777" w:rsidR="00E46DA7" w:rsidRDefault="00B067D2">
      <w:pPr>
        <w:pStyle w:val="TOC1"/>
        <w:tabs>
          <w:tab w:val="right" w:leader="dot" w:pos="8777"/>
        </w:tabs>
        <w:rPr>
          <w:rFonts w:ascii="宋体" w:eastAsia="宋体" w:hAnsi="宋体"/>
        </w:rPr>
      </w:pPr>
      <w:hyperlink w:anchor="_Toc87360268" w:history="1">
        <w:r>
          <w:rPr>
            <w:rFonts w:ascii="宋体" w:eastAsia="宋体" w:hAnsi="宋体" w:hint="eastAsia"/>
          </w:rPr>
          <w:t xml:space="preserve">6  </w:t>
        </w:r>
        <w:r>
          <w:rPr>
            <w:rFonts w:ascii="宋体" w:eastAsia="宋体" w:hAnsi="宋体" w:hint="eastAsia"/>
          </w:rPr>
          <w:t>绿色配送设备</w:t>
        </w:r>
        <w:r>
          <w:rPr>
            <w:rFonts w:ascii="宋体" w:eastAsia="宋体" w:hAnsi="宋体"/>
          </w:rPr>
          <w:tab/>
        </w:r>
        <w:r>
          <w:rPr>
            <w:rFonts w:ascii="宋体" w:eastAsia="宋体" w:hAnsi="宋体" w:hint="eastAsia"/>
          </w:rPr>
          <w:t>3</w:t>
        </w:r>
      </w:hyperlink>
    </w:p>
    <w:p w14:paraId="0FE0CD29" w14:textId="77777777" w:rsidR="00E46DA7" w:rsidRDefault="00B067D2">
      <w:pPr>
        <w:pStyle w:val="TOC1"/>
        <w:tabs>
          <w:tab w:val="right" w:leader="dot" w:pos="8777"/>
        </w:tabs>
        <w:rPr>
          <w:rFonts w:ascii="宋体" w:eastAsia="宋体" w:hAnsi="宋体"/>
          <w:szCs w:val="21"/>
        </w:rPr>
      </w:pPr>
      <w:hyperlink w:anchor="_Toc87360271" w:history="1">
        <w:r>
          <w:rPr>
            <w:rFonts w:ascii="宋体" w:eastAsia="宋体" w:hAnsi="宋体" w:hint="eastAsia"/>
            <w:szCs w:val="21"/>
          </w:rPr>
          <w:t xml:space="preserve">7  </w:t>
        </w:r>
        <w:r>
          <w:rPr>
            <w:rFonts w:ascii="宋体" w:eastAsia="宋体" w:hAnsi="宋体" w:hint="eastAsia"/>
            <w:szCs w:val="21"/>
          </w:rPr>
          <w:t>绿色配送作业</w:t>
        </w:r>
        <w:r>
          <w:rPr>
            <w:rFonts w:ascii="宋体" w:eastAsia="宋体" w:hAnsi="宋体"/>
            <w:szCs w:val="21"/>
          </w:rPr>
          <w:tab/>
        </w:r>
        <w:r>
          <w:rPr>
            <w:rFonts w:ascii="宋体" w:eastAsia="宋体" w:hAnsi="宋体" w:hint="eastAsia"/>
            <w:szCs w:val="21"/>
          </w:rPr>
          <w:t>3</w:t>
        </w:r>
      </w:hyperlink>
    </w:p>
    <w:p w14:paraId="3E2B4A8D" w14:textId="77777777" w:rsidR="00E46DA7" w:rsidRDefault="00B067D2">
      <w:pPr>
        <w:pStyle w:val="WPSOffice1"/>
        <w:tabs>
          <w:tab w:val="right" w:leader="dot" w:pos="8786"/>
        </w:tabs>
        <w:rPr>
          <w:rFonts w:ascii="宋体" w:hAnsi="宋体" w:cs="宋体"/>
          <w:sz w:val="21"/>
          <w:szCs w:val="21"/>
        </w:rPr>
      </w:pPr>
      <w:hyperlink w:anchor="_Toc15934" w:history="1">
        <w:r>
          <w:rPr>
            <w:rFonts w:ascii="宋体" w:hAnsi="宋体" w:cs="宋体" w:hint="eastAsia"/>
            <w:sz w:val="21"/>
            <w:szCs w:val="21"/>
          </w:rPr>
          <w:t xml:space="preserve">8 </w:t>
        </w:r>
        <w:r>
          <w:rPr>
            <w:rFonts w:ascii="宋体" w:hAnsi="宋体" w:cs="宋体" w:hint="eastAsia"/>
            <w:sz w:val="21"/>
            <w:szCs w:val="21"/>
            <w:shd w:val="clear" w:color="auto" w:fill="FFFFFF"/>
          </w:rPr>
          <w:t>绿色配送信息管理系统</w:t>
        </w:r>
        <w:r>
          <w:rPr>
            <w:rFonts w:ascii="宋体" w:hAnsi="宋体" w:cs="宋体" w:hint="eastAsia"/>
            <w:sz w:val="21"/>
            <w:szCs w:val="21"/>
          </w:rPr>
          <w:tab/>
        </w:r>
        <w:r>
          <w:rPr>
            <w:rFonts w:ascii="宋体" w:hAnsi="宋体" w:cs="宋体" w:hint="eastAsia"/>
            <w:sz w:val="21"/>
            <w:szCs w:val="21"/>
          </w:rPr>
          <w:fldChar w:fldCharType="begin"/>
        </w:r>
        <w:r>
          <w:rPr>
            <w:rFonts w:ascii="宋体" w:hAnsi="宋体" w:cs="宋体" w:hint="eastAsia"/>
            <w:sz w:val="21"/>
            <w:szCs w:val="21"/>
          </w:rPr>
          <w:instrText xml:space="preserve"> PAGEREF _Toc15934 \h </w:instrText>
        </w:r>
        <w:r>
          <w:rPr>
            <w:rFonts w:ascii="宋体" w:hAnsi="宋体" w:cs="宋体" w:hint="eastAsia"/>
            <w:sz w:val="21"/>
            <w:szCs w:val="21"/>
          </w:rPr>
        </w:r>
        <w:r>
          <w:rPr>
            <w:rFonts w:ascii="宋体" w:hAnsi="宋体" w:cs="宋体" w:hint="eastAsia"/>
            <w:sz w:val="21"/>
            <w:szCs w:val="21"/>
          </w:rPr>
          <w:fldChar w:fldCharType="separate"/>
        </w:r>
        <w:r>
          <w:rPr>
            <w:rFonts w:ascii="宋体" w:hAnsi="宋体" w:cs="宋体" w:hint="eastAsia"/>
            <w:sz w:val="21"/>
            <w:szCs w:val="21"/>
          </w:rPr>
          <w:t>4</w:t>
        </w:r>
        <w:r>
          <w:rPr>
            <w:rFonts w:ascii="宋体" w:hAnsi="宋体" w:cs="宋体" w:hint="eastAsia"/>
            <w:sz w:val="21"/>
            <w:szCs w:val="21"/>
          </w:rPr>
          <w:fldChar w:fldCharType="end"/>
        </w:r>
      </w:hyperlink>
    </w:p>
    <w:p w14:paraId="1DD7E6F4" w14:textId="77777777" w:rsidR="00E46DA7" w:rsidRDefault="00E46DA7"/>
    <w:p w14:paraId="7EC3EF69" w14:textId="77777777" w:rsidR="00E46DA7" w:rsidRDefault="00E46DA7"/>
    <w:p w14:paraId="3DC48801" w14:textId="77777777" w:rsidR="00E46DA7" w:rsidRDefault="00B067D2">
      <w:pPr>
        <w:widowControl/>
        <w:spacing w:after="100" w:afterAutospacing="1"/>
        <w:rPr>
          <w:rFonts w:ascii="宋体" w:eastAsia="宋体" w:hAnsi="宋体"/>
        </w:rPr>
        <w:sectPr w:rsidR="00E46DA7">
          <w:headerReference w:type="even" r:id="rId14"/>
          <w:footerReference w:type="even" r:id="rId15"/>
          <w:footerReference w:type="default" r:id="rId16"/>
          <w:pgSz w:w="11906" w:h="16838"/>
          <w:pgMar w:top="1278" w:right="1380" w:bottom="1038" w:left="1740" w:header="1417" w:footer="1134" w:gutter="0"/>
          <w:pgNumType w:fmt="upperRoman" w:start="1"/>
          <w:cols w:space="720"/>
          <w:docGrid w:type="lines" w:linePitch="312"/>
        </w:sectPr>
      </w:pPr>
      <w:r>
        <w:rPr>
          <w:rFonts w:ascii="宋体" w:eastAsia="宋体" w:hAnsi="宋体"/>
        </w:rPr>
        <w:fldChar w:fldCharType="end"/>
      </w:r>
    </w:p>
    <w:p w14:paraId="37A267C1" w14:textId="77777777" w:rsidR="00E46DA7" w:rsidRDefault="00E46DA7">
      <w:pPr>
        <w:pStyle w:val="af0"/>
        <w:ind w:firstLineChars="0" w:firstLine="0"/>
        <w:rPr>
          <w:rFonts w:hAnsi="宋体"/>
        </w:rPr>
      </w:pPr>
    </w:p>
    <w:p w14:paraId="6C732556" w14:textId="77777777" w:rsidR="00E46DA7" w:rsidRDefault="00E46DA7">
      <w:pPr>
        <w:pStyle w:val="af0"/>
        <w:ind w:firstLineChars="0" w:firstLine="0"/>
        <w:rPr>
          <w:rFonts w:hAnsi="宋体"/>
        </w:rPr>
      </w:pPr>
    </w:p>
    <w:p w14:paraId="186C465C" w14:textId="77777777" w:rsidR="00E46DA7" w:rsidRDefault="00E46DA7">
      <w:pPr>
        <w:pStyle w:val="af0"/>
        <w:rPr>
          <w:rFonts w:hAnsi="宋体"/>
        </w:rPr>
      </w:pPr>
    </w:p>
    <w:p w14:paraId="0CD4037A" w14:textId="77777777" w:rsidR="00E46DA7" w:rsidRDefault="00E46DA7">
      <w:pPr>
        <w:pStyle w:val="af0"/>
        <w:rPr>
          <w:rFonts w:hAnsi="宋体"/>
        </w:rPr>
      </w:pPr>
    </w:p>
    <w:p w14:paraId="3C9620CF" w14:textId="77777777" w:rsidR="00E46DA7" w:rsidRDefault="00E46DA7">
      <w:pPr>
        <w:pStyle w:val="af0"/>
        <w:rPr>
          <w:rFonts w:hAnsi="宋体"/>
        </w:rPr>
      </w:pPr>
    </w:p>
    <w:p w14:paraId="66757598" w14:textId="77777777" w:rsidR="00E46DA7" w:rsidRDefault="00E46DA7">
      <w:pPr>
        <w:pStyle w:val="af0"/>
        <w:rPr>
          <w:rFonts w:hAnsi="宋体"/>
        </w:rPr>
      </w:pPr>
    </w:p>
    <w:p w14:paraId="432D449A" w14:textId="77777777" w:rsidR="00E46DA7" w:rsidRDefault="00E46DA7">
      <w:pPr>
        <w:pStyle w:val="af0"/>
        <w:rPr>
          <w:rFonts w:hAnsi="宋体"/>
        </w:rPr>
      </w:pPr>
    </w:p>
    <w:p w14:paraId="3AAD8F81" w14:textId="77777777" w:rsidR="00E46DA7" w:rsidRDefault="00E46DA7">
      <w:pPr>
        <w:pStyle w:val="af0"/>
        <w:rPr>
          <w:rFonts w:hAnsi="宋体"/>
        </w:rPr>
      </w:pPr>
    </w:p>
    <w:p w14:paraId="2F670D40" w14:textId="77777777" w:rsidR="00E46DA7" w:rsidRDefault="00E46DA7">
      <w:pPr>
        <w:pStyle w:val="af0"/>
        <w:rPr>
          <w:rFonts w:hAnsi="宋体"/>
        </w:rPr>
      </w:pPr>
    </w:p>
    <w:p w14:paraId="1F740B5F" w14:textId="77777777" w:rsidR="00E46DA7" w:rsidRDefault="00E46DA7">
      <w:pPr>
        <w:pStyle w:val="af0"/>
        <w:rPr>
          <w:rFonts w:hAnsi="宋体"/>
        </w:rPr>
      </w:pPr>
    </w:p>
    <w:p w14:paraId="41E4FB0D" w14:textId="77777777" w:rsidR="00E46DA7" w:rsidRDefault="00E46DA7">
      <w:pPr>
        <w:pStyle w:val="af0"/>
        <w:rPr>
          <w:rFonts w:hAnsi="宋体"/>
        </w:rPr>
      </w:pPr>
    </w:p>
    <w:p w14:paraId="087FFCC4" w14:textId="77777777" w:rsidR="00E46DA7" w:rsidRDefault="00E46DA7">
      <w:pPr>
        <w:pStyle w:val="af0"/>
        <w:rPr>
          <w:rFonts w:hAnsi="宋体"/>
        </w:rPr>
      </w:pPr>
    </w:p>
    <w:p w14:paraId="311092EB" w14:textId="77777777" w:rsidR="00E46DA7" w:rsidRDefault="00E46DA7">
      <w:pPr>
        <w:pStyle w:val="af0"/>
        <w:rPr>
          <w:rFonts w:hAnsi="宋体"/>
        </w:rPr>
      </w:pPr>
    </w:p>
    <w:p w14:paraId="63E0FF2F" w14:textId="77777777" w:rsidR="00E46DA7" w:rsidRDefault="00E46DA7">
      <w:pPr>
        <w:pStyle w:val="af0"/>
        <w:rPr>
          <w:rFonts w:hAnsi="宋体"/>
        </w:rPr>
      </w:pPr>
    </w:p>
    <w:p w14:paraId="49AAA8A8" w14:textId="77777777" w:rsidR="00E46DA7" w:rsidRDefault="00E46DA7">
      <w:pPr>
        <w:pStyle w:val="af0"/>
        <w:rPr>
          <w:rFonts w:hAnsi="宋体"/>
        </w:rPr>
      </w:pPr>
    </w:p>
    <w:p w14:paraId="3315152A" w14:textId="77777777" w:rsidR="00E46DA7" w:rsidRDefault="00E46DA7">
      <w:pPr>
        <w:pStyle w:val="af0"/>
        <w:rPr>
          <w:rFonts w:hAnsi="宋体"/>
        </w:rPr>
      </w:pPr>
    </w:p>
    <w:p w14:paraId="4AD9C7D2" w14:textId="77777777" w:rsidR="00E46DA7" w:rsidRDefault="00E46DA7">
      <w:pPr>
        <w:pStyle w:val="af0"/>
        <w:rPr>
          <w:rFonts w:hAnsi="宋体"/>
        </w:rPr>
      </w:pPr>
    </w:p>
    <w:p w14:paraId="1FD39BC8" w14:textId="77777777" w:rsidR="00E46DA7" w:rsidRDefault="00E46DA7">
      <w:pPr>
        <w:pStyle w:val="af0"/>
        <w:rPr>
          <w:rFonts w:hAnsi="宋体"/>
        </w:rPr>
      </w:pPr>
    </w:p>
    <w:p w14:paraId="140C0EFE" w14:textId="77777777" w:rsidR="00E46DA7" w:rsidRDefault="00E46DA7">
      <w:pPr>
        <w:tabs>
          <w:tab w:val="left" w:pos="4373"/>
        </w:tabs>
        <w:spacing w:before="300" w:after="240" w:line="240" w:lineRule="auto"/>
        <w:rPr>
          <w:rFonts w:ascii="黑体" w:eastAsia="黑体" w:hAnsi="黑体" w:cs="黑体"/>
          <w:spacing w:val="-6"/>
          <w:sz w:val="32"/>
        </w:rPr>
      </w:pPr>
    </w:p>
    <w:p w14:paraId="2DA7D6C1" w14:textId="77777777" w:rsidR="00E46DA7" w:rsidRDefault="00B067D2">
      <w:pPr>
        <w:tabs>
          <w:tab w:val="left" w:pos="4373"/>
        </w:tabs>
        <w:spacing w:before="300" w:after="240" w:line="240" w:lineRule="auto"/>
        <w:ind w:firstLine="3674"/>
        <w:outlineLvl w:val="0"/>
        <w:rPr>
          <w:rFonts w:ascii="黑体" w:eastAsia="黑体" w:hAnsi="黑体" w:cs="黑体"/>
          <w:spacing w:val="-6"/>
          <w:sz w:val="32"/>
        </w:rPr>
      </w:pPr>
      <w:bookmarkStart w:id="11" w:name="_Toc2535"/>
      <w:r>
        <w:rPr>
          <w:rFonts w:ascii="黑体" w:eastAsia="黑体" w:hAnsi="黑体" w:cs="黑体" w:hint="eastAsia"/>
          <w:spacing w:val="-6"/>
          <w:sz w:val="32"/>
        </w:rPr>
        <w:lastRenderedPageBreak/>
        <w:t>前</w:t>
      </w:r>
      <w:r>
        <w:rPr>
          <w:rFonts w:ascii="黑体" w:eastAsia="黑体" w:hAnsi="黑体" w:cs="Calibri"/>
          <w:spacing w:val="-2"/>
        </w:rPr>
        <w:tab/>
      </w:r>
      <w:r>
        <w:rPr>
          <w:rFonts w:ascii="黑体" w:eastAsia="黑体" w:hAnsi="黑体" w:cs="黑体" w:hint="eastAsia"/>
          <w:spacing w:val="-6"/>
          <w:sz w:val="32"/>
        </w:rPr>
        <w:t>言</w:t>
      </w:r>
      <w:bookmarkEnd w:id="11"/>
    </w:p>
    <w:p w14:paraId="1AE67199" w14:textId="77777777" w:rsidR="00E46DA7" w:rsidRDefault="00B067D2">
      <w:pPr>
        <w:pStyle w:val="af0"/>
        <w:rPr>
          <w:rFonts w:hAnsi="宋体"/>
        </w:rPr>
      </w:pPr>
      <w:r>
        <w:rPr>
          <w:rFonts w:hAnsi="宋体" w:hint="eastAsia"/>
        </w:rPr>
        <w:t>本文件按照</w:t>
      </w:r>
      <w:r>
        <w:rPr>
          <w:rFonts w:hint="eastAsia"/>
        </w:rPr>
        <w:t xml:space="preserve">GB/T </w:t>
      </w:r>
      <w:r>
        <w:rPr>
          <w:rFonts w:hint="eastAsia"/>
        </w:rPr>
        <w:t>1.1</w:t>
      </w:r>
      <w:r>
        <w:rPr>
          <w:rFonts w:hint="eastAsia"/>
        </w:rPr>
        <w:t>—</w:t>
      </w:r>
      <w:r>
        <w:rPr>
          <w:rFonts w:hint="eastAsia"/>
        </w:rPr>
        <w:t>2020</w:t>
      </w:r>
      <w:r>
        <w:rPr>
          <w:rFonts w:hint="eastAsia"/>
        </w:rPr>
        <w:t>《标准化工作导则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部分：标准化文件的结构和起草规则》</w:t>
      </w:r>
      <w:r>
        <w:rPr>
          <w:rFonts w:hAnsi="宋体" w:hint="eastAsia"/>
        </w:rPr>
        <w:t>给出的规则起草。</w:t>
      </w:r>
    </w:p>
    <w:p w14:paraId="15A0B900" w14:textId="77777777" w:rsidR="00E46DA7" w:rsidRDefault="00B067D2">
      <w:pPr>
        <w:pStyle w:val="af0"/>
        <w:rPr>
          <w:rFonts w:hAnsi="宋体"/>
        </w:rPr>
      </w:pPr>
      <w:r>
        <w:rPr>
          <w:rFonts w:hAnsi="宋体" w:hint="eastAsia"/>
        </w:rPr>
        <w:t>本文件由辽宁省商务厅提出并归口。</w:t>
      </w:r>
    </w:p>
    <w:p w14:paraId="51E5F43D" w14:textId="77777777" w:rsidR="00E46DA7" w:rsidRDefault="00B067D2">
      <w:pPr>
        <w:pStyle w:val="af0"/>
        <w:rPr>
          <w:rFonts w:hAnsi="宋体"/>
        </w:rPr>
      </w:pPr>
      <w:r>
        <w:rPr>
          <w:rFonts w:hAnsi="宋体" w:hint="eastAsia"/>
        </w:rPr>
        <w:t>本文件主要起草单位：</w:t>
      </w:r>
      <w:r>
        <w:rPr>
          <w:rFonts w:hAnsi="宋体" w:hint="eastAsia"/>
        </w:rPr>
        <w:t>沈阳物流行业协会。</w:t>
      </w:r>
    </w:p>
    <w:p w14:paraId="7DD7ADAF" w14:textId="77777777" w:rsidR="00E46DA7" w:rsidRDefault="00B067D2">
      <w:pPr>
        <w:pStyle w:val="af0"/>
        <w:rPr>
          <w:rFonts w:hAnsi="宋体"/>
        </w:rPr>
      </w:pPr>
      <w:r>
        <w:rPr>
          <w:rFonts w:hAnsi="宋体" w:hint="eastAsia"/>
        </w:rPr>
        <w:t>本文件主要起草人：</w:t>
      </w:r>
      <w:r>
        <w:rPr>
          <w:rFonts w:hAnsi="宋体" w:hint="eastAsia"/>
        </w:rPr>
        <w:t>刘爱华、杜佳欣。</w:t>
      </w:r>
    </w:p>
    <w:p w14:paraId="562F177F" w14:textId="77777777" w:rsidR="00E46DA7" w:rsidRDefault="00B067D2">
      <w:pPr>
        <w:pStyle w:val="af0"/>
        <w:rPr>
          <w:rFonts w:hAnsi="宋体"/>
        </w:rPr>
      </w:pPr>
      <w:r>
        <w:rPr>
          <w:rFonts w:hAnsi="宋体" w:hint="eastAsia"/>
        </w:rPr>
        <w:t>本文件发布实施后，任何单位和个人如有问题和意见建议，均可以通过来电和来函等方式进行反馈，我们将及时答复并认真处理，根据实际情况依法进行评估及复审。</w:t>
      </w:r>
    </w:p>
    <w:p w14:paraId="67A545F7" w14:textId="77777777" w:rsidR="00E46DA7" w:rsidRDefault="00B067D2">
      <w:pPr>
        <w:pStyle w:val="af0"/>
        <w:rPr>
          <w:rFonts w:hAnsi="宋体"/>
        </w:rPr>
      </w:pPr>
      <w:r>
        <w:rPr>
          <w:rFonts w:hAnsi="宋体" w:hint="eastAsia"/>
        </w:rPr>
        <w:t>本文件归口管理部门</w:t>
      </w:r>
      <w:r>
        <w:rPr>
          <w:rFonts w:hAnsi="宋体" w:hint="eastAsia"/>
        </w:rPr>
        <w:t>:</w:t>
      </w:r>
      <w:r>
        <w:rPr>
          <w:rFonts w:hAnsi="宋体" w:hint="eastAsia"/>
        </w:rPr>
        <w:t>辽宁省商务厅（沈阳市皇姑区泰山路</w:t>
      </w:r>
      <w:r>
        <w:rPr>
          <w:rFonts w:hAnsi="宋体" w:hint="eastAsia"/>
        </w:rPr>
        <w:t>17</w:t>
      </w:r>
      <w:r>
        <w:rPr>
          <w:rFonts w:hAnsi="宋体" w:hint="eastAsia"/>
        </w:rPr>
        <w:t>号，</w:t>
      </w:r>
      <w:r>
        <w:rPr>
          <w:rFonts w:hAnsi="宋体" w:hint="eastAsia"/>
        </w:rPr>
        <w:t>024-86892298-9187</w:t>
      </w:r>
      <w:r>
        <w:rPr>
          <w:rFonts w:hAnsi="宋体" w:hint="eastAsia"/>
        </w:rPr>
        <w:t>）</w:t>
      </w:r>
    </w:p>
    <w:p w14:paraId="4A7A04F9" w14:textId="77777777" w:rsidR="00E46DA7" w:rsidRDefault="00B067D2">
      <w:pPr>
        <w:pStyle w:val="af0"/>
        <w:rPr>
          <w:rFonts w:hAnsi="宋体"/>
        </w:rPr>
      </w:pPr>
      <w:r>
        <w:rPr>
          <w:rFonts w:hAnsi="宋体" w:hint="eastAsia"/>
        </w:rPr>
        <w:t>标准起草单位</w:t>
      </w:r>
      <w:r>
        <w:rPr>
          <w:rFonts w:hAnsi="宋体" w:hint="eastAsia"/>
        </w:rPr>
        <w:t>:</w:t>
      </w:r>
      <w:r>
        <w:rPr>
          <w:rFonts w:hAnsi="宋体" w:hint="eastAsia"/>
        </w:rPr>
        <w:t>沈阳物流行业协会（沈阳市大东区东北大马路</w:t>
      </w:r>
      <w:r>
        <w:rPr>
          <w:rFonts w:hAnsi="宋体" w:hint="eastAsia"/>
        </w:rPr>
        <w:t>337</w:t>
      </w:r>
      <w:r>
        <w:rPr>
          <w:rFonts w:hAnsi="宋体" w:hint="eastAsia"/>
        </w:rPr>
        <w:t>号，</w:t>
      </w:r>
      <w:r>
        <w:rPr>
          <w:rFonts w:hAnsi="宋体" w:hint="eastAsia"/>
        </w:rPr>
        <w:t>0</w:t>
      </w:r>
      <w:r>
        <w:rPr>
          <w:rFonts w:hAnsi="宋体" w:hint="eastAsia"/>
        </w:rPr>
        <w:t>24-88202866</w:t>
      </w:r>
      <w:r>
        <w:rPr>
          <w:rFonts w:hAnsi="宋体" w:hint="eastAsia"/>
        </w:rPr>
        <w:t>）</w:t>
      </w:r>
    </w:p>
    <w:p w14:paraId="461DA20B" w14:textId="77777777" w:rsidR="00E46DA7" w:rsidRDefault="00E46DA7">
      <w:pPr>
        <w:spacing w:after="0" w:line="240" w:lineRule="exact"/>
        <w:ind w:left="60"/>
      </w:pPr>
    </w:p>
    <w:p w14:paraId="79DE54D0" w14:textId="77777777" w:rsidR="00E46DA7" w:rsidRDefault="00E46DA7">
      <w:pPr>
        <w:spacing w:after="0" w:line="240" w:lineRule="exact"/>
        <w:ind w:left="60"/>
      </w:pPr>
    </w:p>
    <w:p w14:paraId="6168A114" w14:textId="77777777" w:rsidR="00E46DA7" w:rsidRDefault="00E46DA7">
      <w:pPr>
        <w:spacing w:after="0" w:line="240" w:lineRule="exact"/>
        <w:ind w:left="60"/>
      </w:pPr>
    </w:p>
    <w:p w14:paraId="05F85D4D" w14:textId="77777777" w:rsidR="00E46DA7" w:rsidRDefault="00E46DA7">
      <w:pPr>
        <w:spacing w:after="0" w:line="240" w:lineRule="exact"/>
        <w:ind w:left="60"/>
      </w:pPr>
    </w:p>
    <w:p w14:paraId="24200F11" w14:textId="77777777" w:rsidR="00E46DA7" w:rsidRDefault="00E46DA7">
      <w:pPr>
        <w:spacing w:after="0" w:line="240" w:lineRule="exact"/>
        <w:ind w:left="60"/>
      </w:pPr>
    </w:p>
    <w:p w14:paraId="7CEECC93" w14:textId="77777777" w:rsidR="00E46DA7" w:rsidRDefault="00E46DA7">
      <w:pPr>
        <w:spacing w:after="0" w:line="240" w:lineRule="exact"/>
        <w:ind w:left="60"/>
      </w:pPr>
    </w:p>
    <w:p w14:paraId="702B1597" w14:textId="77777777" w:rsidR="00E46DA7" w:rsidRDefault="00E46DA7">
      <w:pPr>
        <w:spacing w:after="0" w:line="240" w:lineRule="exact"/>
        <w:ind w:left="60"/>
      </w:pPr>
    </w:p>
    <w:p w14:paraId="3FE83B2A" w14:textId="77777777" w:rsidR="00E46DA7" w:rsidRDefault="00E46DA7">
      <w:pPr>
        <w:spacing w:after="0" w:line="240" w:lineRule="exact"/>
        <w:ind w:left="60"/>
      </w:pPr>
    </w:p>
    <w:p w14:paraId="4B329718" w14:textId="77777777" w:rsidR="00E46DA7" w:rsidRDefault="00E46DA7">
      <w:pPr>
        <w:spacing w:after="0" w:line="240" w:lineRule="exact"/>
        <w:ind w:left="60"/>
      </w:pPr>
    </w:p>
    <w:p w14:paraId="6EDB4F94" w14:textId="77777777" w:rsidR="00E46DA7" w:rsidRDefault="00E46DA7">
      <w:pPr>
        <w:spacing w:after="0" w:line="240" w:lineRule="exact"/>
        <w:ind w:left="60"/>
      </w:pPr>
    </w:p>
    <w:p w14:paraId="6E88D520" w14:textId="77777777" w:rsidR="00E46DA7" w:rsidRDefault="00E46DA7">
      <w:pPr>
        <w:spacing w:after="0" w:line="240" w:lineRule="exact"/>
        <w:ind w:left="60"/>
      </w:pPr>
    </w:p>
    <w:p w14:paraId="12653047" w14:textId="77777777" w:rsidR="00E46DA7" w:rsidRDefault="00E46DA7">
      <w:pPr>
        <w:spacing w:after="0" w:line="240" w:lineRule="exact"/>
        <w:ind w:left="60"/>
      </w:pPr>
    </w:p>
    <w:p w14:paraId="4EF9CCD0" w14:textId="77777777" w:rsidR="00E46DA7" w:rsidRDefault="00E46DA7">
      <w:pPr>
        <w:spacing w:after="0" w:line="240" w:lineRule="exact"/>
        <w:ind w:left="60"/>
      </w:pPr>
    </w:p>
    <w:p w14:paraId="60332A2B" w14:textId="77777777" w:rsidR="00E46DA7" w:rsidRDefault="00E46DA7">
      <w:pPr>
        <w:spacing w:after="0" w:line="240" w:lineRule="exact"/>
        <w:ind w:left="60"/>
      </w:pPr>
    </w:p>
    <w:p w14:paraId="25E58EF6" w14:textId="77777777" w:rsidR="00E46DA7" w:rsidRDefault="00E46DA7">
      <w:pPr>
        <w:spacing w:after="0" w:line="240" w:lineRule="exact"/>
        <w:ind w:left="60"/>
      </w:pPr>
    </w:p>
    <w:p w14:paraId="72AA36F3" w14:textId="77777777" w:rsidR="00E46DA7" w:rsidRDefault="00E46DA7">
      <w:pPr>
        <w:spacing w:after="0" w:line="240" w:lineRule="exact"/>
        <w:ind w:left="60"/>
      </w:pPr>
    </w:p>
    <w:p w14:paraId="070B0257" w14:textId="77777777" w:rsidR="00E46DA7" w:rsidRDefault="00E46DA7">
      <w:pPr>
        <w:spacing w:after="0" w:line="240" w:lineRule="exact"/>
        <w:ind w:left="60"/>
      </w:pPr>
    </w:p>
    <w:p w14:paraId="4C657309" w14:textId="77777777" w:rsidR="00E46DA7" w:rsidRDefault="00E46DA7">
      <w:pPr>
        <w:spacing w:after="0" w:line="240" w:lineRule="exact"/>
        <w:ind w:left="60"/>
      </w:pPr>
    </w:p>
    <w:p w14:paraId="6AFAF948" w14:textId="77777777" w:rsidR="00E46DA7" w:rsidRDefault="00E46DA7">
      <w:pPr>
        <w:spacing w:after="0" w:line="240" w:lineRule="exact"/>
        <w:ind w:left="60"/>
      </w:pPr>
    </w:p>
    <w:p w14:paraId="393A3744" w14:textId="77777777" w:rsidR="00E46DA7" w:rsidRDefault="00E46DA7">
      <w:pPr>
        <w:spacing w:after="0" w:line="240" w:lineRule="exact"/>
        <w:ind w:left="60"/>
      </w:pPr>
    </w:p>
    <w:p w14:paraId="09670C24" w14:textId="77777777" w:rsidR="00E46DA7" w:rsidRDefault="00E46DA7">
      <w:pPr>
        <w:spacing w:after="0" w:line="240" w:lineRule="exact"/>
        <w:ind w:left="60"/>
      </w:pPr>
    </w:p>
    <w:p w14:paraId="51496BC9" w14:textId="77777777" w:rsidR="00E46DA7" w:rsidRDefault="00E46DA7">
      <w:pPr>
        <w:spacing w:after="0" w:line="240" w:lineRule="exact"/>
        <w:ind w:left="60"/>
      </w:pPr>
    </w:p>
    <w:p w14:paraId="08B8EC65" w14:textId="77777777" w:rsidR="00E46DA7" w:rsidRDefault="00E46DA7">
      <w:pPr>
        <w:spacing w:after="0" w:line="240" w:lineRule="exact"/>
        <w:ind w:left="60"/>
      </w:pPr>
    </w:p>
    <w:p w14:paraId="39518129" w14:textId="77777777" w:rsidR="00E46DA7" w:rsidRDefault="00E46DA7">
      <w:pPr>
        <w:spacing w:after="0" w:line="240" w:lineRule="exact"/>
        <w:ind w:left="60"/>
      </w:pPr>
    </w:p>
    <w:p w14:paraId="06D4CAA7" w14:textId="77777777" w:rsidR="00E46DA7" w:rsidRDefault="00E46DA7">
      <w:pPr>
        <w:spacing w:after="0" w:line="240" w:lineRule="exact"/>
        <w:ind w:left="60"/>
      </w:pPr>
    </w:p>
    <w:p w14:paraId="2C6F2A75" w14:textId="77777777" w:rsidR="00E46DA7" w:rsidRDefault="00E46DA7">
      <w:pPr>
        <w:spacing w:after="0" w:line="240" w:lineRule="exact"/>
        <w:ind w:left="60"/>
      </w:pPr>
    </w:p>
    <w:p w14:paraId="3FBC906A" w14:textId="77777777" w:rsidR="00E46DA7" w:rsidRDefault="00E46DA7">
      <w:pPr>
        <w:widowControl/>
        <w:sectPr w:rsidR="00E46DA7">
          <w:headerReference w:type="default" r:id="rId17"/>
          <w:type w:val="continuous"/>
          <w:pgSz w:w="11906" w:h="16838"/>
          <w:pgMar w:top="1278" w:right="1380" w:bottom="1038" w:left="1740" w:header="1417" w:footer="1134" w:gutter="0"/>
          <w:pgNumType w:fmt="upperRoman" w:start="1"/>
          <w:cols w:space="720"/>
          <w:docGrid w:type="lines" w:linePitch="312"/>
        </w:sectPr>
      </w:pPr>
    </w:p>
    <w:p w14:paraId="3FFCF80B" w14:textId="77777777" w:rsidR="00E46DA7" w:rsidRDefault="00E46DA7">
      <w:pPr>
        <w:widowControl/>
        <w:sectPr w:rsidR="00E46DA7">
          <w:type w:val="continuous"/>
          <w:pgSz w:w="11906" w:h="16838"/>
          <w:pgMar w:top="1278" w:right="1380" w:bottom="1038" w:left="1740" w:header="0" w:footer="0" w:gutter="0"/>
          <w:cols w:space="720" w:equalWidth="0">
            <w:col w:w="8787"/>
          </w:cols>
          <w:docGrid w:type="lines" w:linePitch="312"/>
        </w:sectPr>
      </w:pPr>
    </w:p>
    <w:p w14:paraId="66C4870D" w14:textId="77777777" w:rsidR="00E46DA7" w:rsidRDefault="00E46DA7">
      <w:pPr>
        <w:spacing w:after="0" w:line="240" w:lineRule="exact"/>
      </w:pPr>
    </w:p>
    <w:p w14:paraId="1C7DDB63" w14:textId="77777777" w:rsidR="00E46DA7" w:rsidRDefault="00B067D2">
      <w:pPr>
        <w:spacing w:before="85" w:after="68" w:line="240" w:lineRule="auto"/>
        <w:jc w:val="center"/>
        <w:outlineLvl w:val="0"/>
      </w:pPr>
      <w:bookmarkStart w:id="12" w:name="_Toc29753"/>
      <w:r>
        <w:rPr>
          <w:rFonts w:ascii="黑体" w:eastAsia="黑体" w:hAnsi="黑体" w:cs="黑体" w:hint="eastAsia"/>
          <w:spacing w:val="-5"/>
          <w:sz w:val="32"/>
        </w:rPr>
        <w:t>绿色</w:t>
      </w:r>
      <w:r>
        <w:rPr>
          <w:rFonts w:ascii="黑体" w:eastAsia="黑体" w:hAnsi="黑体" w:cs="黑体"/>
          <w:spacing w:val="-5"/>
          <w:sz w:val="32"/>
        </w:rPr>
        <w:t>城市配</w:t>
      </w:r>
      <w:r>
        <w:rPr>
          <w:rFonts w:ascii="黑体" w:eastAsia="黑体" w:hAnsi="黑体" w:cs="黑体"/>
          <w:spacing w:val="-6"/>
          <w:sz w:val="32"/>
        </w:rPr>
        <w:t>送</w:t>
      </w:r>
      <w:r>
        <w:rPr>
          <w:rFonts w:ascii="黑体" w:eastAsia="黑体" w:hAnsi="黑体" w:cs="黑体" w:hint="eastAsia"/>
          <w:spacing w:val="-6"/>
          <w:sz w:val="32"/>
        </w:rPr>
        <w:t>管理</w:t>
      </w:r>
      <w:r>
        <w:rPr>
          <w:rFonts w:ascii="黑体" w:eastAsia="黑体" w:hAnsi="黑体" w:cs="黑体" w:hint="eastAsia"/>
          <w:spacing w:val="-6"/>
          <w:sz w:val="32"/>
        </w:rPr>
        <w:t>规</w:t>
      </w:r>
      <w:r>
        <w:rPr>
          <w:rFonts w:ascii="黑体" w:eastAsia="黑体" w:hAnsi="黑体" w:cs="黑体"/>
          <w:spacing w:val="-5"/>
          <w:sz w:val="32"/>
        </w:rPr>
        <w:t>范</w:t>
      </w:r>
      <w:bookmarkEnd w:id="12"/>
    </w:p>
    <w:p w14:paraId="23561A64" w14:textId="77777777" w:rsidR="00E46DA7" w:rsidRDefault="00B067D2">
      <w:pPr>
        <w:pStyle w:val="11"/>
        <w:numPr>
          <w:ilvl w:val="0"/>
          <w:numId w:val="2"/>
        </w:numPr>
        <w:spacing w:beforeLines="100" w:before="312" w:afterLines="100" w:after="312" w:line="240" w:lineRule="auto"/>
        <w:ind w:firstLineChars="0"/>
        <w:jc w:val="both"/>
        <w:outlineLvl w:val="0"/>
        <w:rPr>
          <w:bCs/>
        </w:rPr>
      </w:pPr>
      <w:bookmarkStart w:id="13" w:name="_Toc87360250"/>
      <w:bookmarkStart w:id="14" w:name="_Toc17431"/>
      <w:r>
        <w:rPr>
          <w:rFonts w:ascii="黑体" w:eastAsia="黑体" w:hAnsi="黑体" w:cs="黑体"/>
          <w:bCs/>
          <w:spacing w:val="-6"/>
        </w:rPr>
        <w:t>范围</w:t>
      </w:r>
      <w:bookmarkEnd w:id="13"/>
      <w:bookmarkEnd w:id="14"/>
    </w:p>
    <w:p w14:paraId="393F355C" w14:textId="77777777" w:rsidR="00E46DA7" w:rsidRDefault="00B067D2">
      <w:pPr>
        <w:pStyle w:val="af0"/>
      </w:pPr>
      <w:r>
        <w:rPr>
          <w:rFonts w:hint="eastAsia"/>
        </w:rPr>
        <w:t>本文件规定了绿色城市配送管理的术语与定义、</w:t>
      </w:r>
      <w:r>
        <w:rPr>
          <w:rFonts w:hint="eastAsia"/>
        </w:rPr>
        <w:t>基本要求、绿色</w:t>
      </w:r>
      <w:r>
        <w:rPr>
          <w:rFonts w:hint="eastAsia"/>
        </w:rPr>
        <w:t>配送</w:t>
      </w:r>
      <w:r>
        <w:rPr>
          <w:rFonts w:hint="eastAsia"/>
        </w:rPr>
        <w:t>人员、绿色</w:t>
      </w:r>
      <w:r>
        <w:rPr>
          <w:rFonts w:hint="eastAsia"/>
        </w:rPr>
        <w:t>配送</w:t>
      </w:r>
      <w:r>
        <w:rPr>
          <w:rFonts w:hint="eastAsia"/>
        </w:rPr>
        <w:t>设备、绿色配送作业</w:t>
      </w:r>
      <w:r>
        <w:rPr>
          <w:rFonts w:hint="eastAsia"/>
        </w:rPr>
        <w:t>、</w:t>
      </w:r>
      <w:r>
        <w:rPr>
          <w:rFonts w:hint="eastAsia"/>
        </w:rPr>
        <w:t>绿色配送信息管理系统。</w:t>
      </w:r>
    </w:p>
    <w:p w14:paraId="48EEEBC1" w14:textId="77777777" w:rsidR="00E46DA7" w:rsidRDefault="00B067D2">
      <w:pPr>
        <w:pStyle w:val="af0"/>
      </w:pPr>
      <w:r>
        <w:rPr>
          <w:rFonts w:hint="eastAsia"/>
        </w:rPr>
        <w:t>本文件适用于</w:t>
      </w:r>
      <w:r>
        <w:rPr>
          <w:rFonts w:hint="eastAsia"/>
        </w:rPr>
        <w:t>从事</w:t>
      </w:r>
      <w:r>
        <w:rPr>
          <w:rFonts w:hint="eastAsia"/>
        </w:rPr>
        <w:t>城市配送</w:t>
      </w:r>
      <w:r>
        <w:rPr>
          <w:rFonts w:hint="eastAsia"/>
        </w:rPr>
        <w:t>服务的物流企业开展绿色配送管理工作</w:t>
      </w:r>
      <w:r>
        <w:rPr>
          <w:rFonts w:hint="eastAsia"/>
        </w:rPr>
        <w:t>，</w:t>
      </w:r>
      <w:r>
        <w:rPr>
          <w:rFonts w:hint="eastAsia"/>
        </w:rPr>
        <w:t>为特殊物品（如危险品等）提供配送服务的可参照执行</w:t>
      </w:r>
      <w:r>
        <w:rPr>
          <w:rFonts w:hint="eastAsia"/>
        </w:rPr>
        <w:t>。</w:t>
      </w:r>
    </w:p>
    <w:p w14:paraId="10D72315" w14:textId="77777777" w:rsidR="00E46DA7" w:rsidRDefault="00B067D2">
      <w:pPr>
        <w:pStyle w:val="11"/>
        <w:numPr>
          <w:ilvl w:val="0"/>
          <w:numId w:val="2"/>
        </w:numPr>
        <w:spacing w:beforeLines="100" w:before="312" w:afterLines="100" w:after="312" w:line="240" w:lineRule="auto"/>
        <w:ind w:firstLineChars="0"/>
        <w:jc w:val="both"/>
        <w:outlineLvl w:val="0"/>
        <w:rPr>
          <w:bCs/>
        </w:rPr>
      </w:pPr>
      <w:bookmarkStart w:id="15" w:name="_Toc13356"/>
      <w:bookmarkStart w:id="16" w:name="_Toc87360251"/>
      <w:r>
        <w:rPr>
          <w:rFonts w:ascii="黑体" w:eastAsia="黑体" w:hAnsi="黑体" w:cs="黑体"/>
          <w:bCs/>
          <w:spacing w:val="-5"/>
        </w:rPr>
        <w:t>规范性引用文件</w:t>
      </w:r>
      <w:bookmarkEnd w:id="15"/>
      <w:bookmarkEnd w:id="16"/>
    </w:p>
    <w:p w14:paraId="2869998C" w14:textId="77777777" w:rsidR="00E46DA7" w:rsidRDefault="00B067D2">
      <w:pPr>
        <w:spacing w:after="0" w:line="240" w:lineRule="auto"/>
        <w:ind w:firstLineChars="200" w:firstLine="392"/>
        <w:jc w:val="both"/>
        <w:rPr>
          <w:rFonts w:hAnsi="宋体" w:cs="宋体"/>
        </w:rPr>
      </w:pPr>
      <w:r>
        <w:rPr>
          <w:rFonts w:ascii="宋体" w:eastAsia="宋体" w:hAnsi="宋体" w:cs="宋体"/>
          <w:spacing w:val="-7"/>
        </w:rPr>
        <w:t>下列文件</w:t>
      </w:r>
      <w:r>
        <w:rPr>
          <w:rFonts w:ascii="宋体" w:eastAsia="宋体" w:hAnsi="宋体" w:cs="宋体" w:hint="eastAsia"/>
          <w:spacing w:val="-7"/>
        </w:rPr>
        <w:t>中的内容通过文中的规范性引用而构成本文件必不可少的条款。其中，注日期的引用文件，仅该日期对应的版本适用于本文件；不注日期的引用文件，其最新版本（包括所有的修改单）适用于本文件。</w:t>
      </w:r>
    </w:p>
    <w:p w14:paraId="76345D2F" w14:textId="77777777" w:rsidR="00E46DA7" w:rsidRDefault="00B067D2">
      <w:pPr>
        <w:pStyle w:val="af0"/>
        <w:ind w:firstLineChars="300" w:firstLine="63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GB 1495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汽车加速行驶车外噪声限值及测量方法</w:t>
      </w:r>
    </w:p>
    <w:p w14:paraId="51E7BF4C" w14:textId="77777777" w:rsidR="00E46DA7" w:rsidRDefault="00B067D2">
      <w:pPr>
        <w:pStyle w:val="af0"/>
        <w:ind w:firstLineChars="300" w:firstLine="630"/>
        <w:rPr>
          <w:rFonts w:hAnsi="宋体" w:cs="宋体"/>
          <w:color w:val="000000" w:themeColor="text1"/>
        </w:rPr>
      </w:pPr>
      <w:r>
        <w:rPr>
          <w:rFonts w:hAnsi="宋体" w:cs="宋体"/>
          <w:color w:val="000000" w:themeColor="text1"/>
        </w:rPr>
        <w:t>GB</w:t>
      </w:r>
      <w:r>
        <w:rPr>
          <w:rFonts w:hAnsi="宋体" w:cs="宋体" w:hint="eastAsia"/>
          <w:color w:val="000000" w:themeColor="text1"/>
        </w:rPr>
        <w:t xml:space="preserve"> </w:t>
      </w:r>
      <w:r>
        <w:rPr>
          <w:rFonts w:hAnsi="宋体" w:cs="宋体"/>
          <w:color w:val="000000" w:themeColor="text1"/>
        </w:rPr>
        <w:t>1</w:t>
      </w:r>
      <w:r>
        <w:rPr>
          <w:rFonts w:hAnsi="宋体" w:cs="宋体" w:hint="eastAsia"/>
          <w:color w:val="000000" w:themeColor="text1"/>
        </w:rPr>
        <w:t>589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汽车、挂车及汽车列车外廓尺寸，</w:t>
      </w:r>
      <w:proofErr w:type="gramStart"/>
      <w:r>
        <w:rPr>
          <w:rFonts w:hAnsi="宋体" w:cs="宋体" w:hint="eastAsia"/>
          <w:color w:val="000000" w:themeColor="text1"/>
        </w:rPr>
        <w:t>轴荷及</w:t>
      </w:r>
      <w:proofErr w:type="gramEnd"/>
      <w:r>
        <w:rPr>
          <w:rFonts w:hAnsi="宋体" w:cs="宋体" w:hint="eastAsia"/>
          <w:color w:val="000000" w:themeColor="text1"/>
        </w:rPr>
        <w:t>质量限值。</w:t>
      </w:r>
    </w:p>
    <w:p w14:paraId="42A29DC0" w14:textId="77777777" w:rsidR="00E46DA7" w:rsidRDefault="00B067D2">
      <w:pPr>
        <w:pStyle w:val="af0"/>
        <w:ind w:firstLineChars="300" w:firstLine="630"/>
        <w:rPr>
          <w:rFonts w:hAnsi="宋体" w:cs="宋体"/>
        </w:rPr>
      </w:pPr>
      <w:r>
        <w:rPr>
          <w:rFonts w:hAnsi="宋体" w:cs="宋体" w:hint="eastAsia"/>
        </w:rPr>
        <w:t>GB 7258</w:t>
      </w:r>
      <w:r>
        <w:rPr>
          <w:rFonts w:hAnsi="宋体" w:cs="宋体" w:hint="eastAsia"/>
        </w:rPr>
        <w:t> </w:t>
      </w:r>
      <w:r>
        <w:rPr>
          <w:rFonts w:hAnsi="宋体" w:cs="宋体" w:hint="eastAsia"/>
        </w:rPr>
        <w:t>机动车运行安全技术条件</w:t>
      </w:r>
    </w:p>
    <w:p w14:paraId="738AB21A" w14:textId="77777777" w:rsidR="00E46DA7" w:rsidRDefault="00B067D2">
      <w:pPr>
        <w:pStyle w:val="af0"/>
        <w:ind w:firstLineChars="300" w:firstLine="63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GB/T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16716.1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包装与环境</w:t>
      </w:r>
      <w:r>
        <w:rPr>
          <w:rFonts w:hAnsi="宋体" w:cs="宋体" w:hint="eastAsia"/>
          <w:color w:val="000000" w:themeColor="text1"/>
        </w:rPr>
        <w:t xml:space="preserve"> </w:t>
      </w:r>
      <w:r>
        <w:rPr>
          <w:rFonts w:hAnsi="宋体" w:cs="宋体" w:hint="eastAsia"/>
          <w:color w:val="000000" w:themeColor="text1"/>
        </w:rPr>
        <w:t>第一部分：通则</w:t>
      </w:r>
    </w:p>
    <w:p w14:paraId="2ADF8A1B" w14:textId="77777777" w:rsidR="00E46DA7" w:rsidRDefault="00B067D2">
      <w:pPr>
        <w:pStyle w:val="af0"/>
        <w:ind w:firstLineChars="300" w:firstLine="63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GB/T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17691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重型柴油车污染物排放限值及测量方法（中国第六阶段）</w:t>
      </w:r>
    </w:p>
    <w:p w14:paraId="5CC1EE9F" w14:textId="77777777" w:rsidR="00E46DA7" w:rsidRDefault="00B067D2">
      <w:pPr>
        <w:pStyle w:val="af0"/>
        <w:ind w:firstLineChars="300" w:firstLine="63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GB/T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18352.6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轻型车辆污染物排放限值及测量方法（中国第六阶段）</w:t>
      </w:r>
    </w:p>
    <w:p w14:paraId="16EC282D" w14:textId="77777777" w:rsidR="00E46DA7" w:rsidRDefault="00B067D2">
      <w:pPr>
        <w:pStyle w:val="af0"/>
        <w:ind w:firstLineChars="300" w:firstLine="63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GB/T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 xml:space="preserve">37099 </w:t>
      </w:r>
      <w:r>
        <w:rPr>
          <w:rFonts w:hAnsi="宋体" w:cs="宋体" w:hint="eastAsia"/>
          <w:color w:val="000000" w:themeColor="text1"/>
        </w:rPr>
        <w:t>绿色物流指标构成与核算方法</w:t>
      </w:r>
    </w:p>
    <w:p w14:paraId="7CCDF4BA" w14:textId="77777777" w:rsidR="00E46DA7" w:rsidRDefault="00B067D2">
      <w:pPr>
        <w:pStyle w:val="af0"/>
        <w:ind w:firstLineChars="300" w:firstLine="63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GB/T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18386.1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电动汽车能量消耗量和</w:t>
      </w:r>
      <w:proofErr w:type="gramStart"/>
      <w:r>
        <w:rPr>
          <w:rFonts w:hAnsi="宋体" w:cs="宋体" w:hint="eastAsia"/>
          <w:color w:val="000000" w:themeColor="text1"/>
        </w:rPr>
        <w:t>续驶</w:t>
      </w:r>
      <w:proofErr w:type="gramEnd"/>
      <w:r>
        <w:rPr>
          <w:rFonts w:hAnsi="宋体" w:cs="宋体" w:hint="eastAsia"/>
          <w:color w:val="000000" w:themeColor="text1"/>
        </w:rPr>
        <w:t>里程试验办法，第一部分：轻型汽车</w:t>
      </w:r>
    </w:p>
    <w:p w14:paraId="04326E1F" w14:textId="77777777" w:rsidR="00E46DA7" w:rsidRDefault="00B067D2">
      <w:pPr>
        <w:pStyle w:val="af0"/>
        <w:ind w:firstLineChars="300" w:firstLine="63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GB 18455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包装回收标准</w:t>
      </w:r>
    </w:p>
    <w:p w14:paraId="1DB75A21" w14:textId="77777777" w:rsidR="00E46DA7" w:rsidRDefault="00B067D2">
      <w:pPr>
        <w:pStyle w:val="af0"/>
        <w:ind w:firstLineChars="300" w:firstLine="63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GB/T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29912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城市物流配送汽车造型技术要求</w:t>
      </w:r>
    </w:p>
    <w:p w14:paraId="1E0966AD" w14:textId="77777777" w:rsidR="00E46DA7" w:rsidRDefault="00B067D2">
      <w:pPr>
        <w:pStyle w:val="af0"/>
        <w:ind w:firstLineChars="300" w:firstLine="63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JT/T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794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道路运输车辆卫星定位系统车载终端技术要求</w:t>
      </w:r>
    </w:p>
    <w:p w14:paraId="69B4C7A6" w14:textId="77777777" w:rsidR="00E46DA7" w:rsidRDefault="00B067D2">
      <w:pPr>
        <w:pStyle w:val="af0"/>
        <w:ind w:firstLineChars="300" w:firstLine="63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QC/T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449</w:t>
      </w:r>
      <w:r>
        <w:rPr>
          <w:rFonts w:hAnsi="宋体" w:cs="宋体" w:hint="eastAsia"/>
          <w:color w:val="000000" w:themeColor="text1"/>
        </w:rPr>
        <w:t> </w:t>
      </w:r>
      <w:r>
        <w:rPr>
          <w:rFonts w:hAnsi="宋体" w:cs="宋体" w:hint="eastAsia"/>
          <w:color w:val="000000" w:themeColor="text1"/>
        </w:rPr>
        <w:t>保温车、冷藏车技术条件及试验办法</w:t>
      </w:r>
    </w:p>
    <w:p w14:paraId="575C0C1C" w14:textId="77777777" w:rsidR="00E46DA7" w:rsidRDefault="00B067D2">
      <w:pPr>
        <w:pStyle w:val="11"/>
        <w:numPr>
          <w:ilvl w:val="0"/>
          <w:numId w:val="2"/>
        </w:numPr>
        <w:spacing w:beforeLines="100" w:before="312" w:afterLines="100" w:after="312" w:line="240" w:lineRule="auto"/>
        <w:ind w:firstLineChars="0"/>
        <w:jc w:val="both"/>
        <w:outlineLvl w:val="0"/>
        <w:rPr>
          <w:bCs/>
        </w:rPr>
      </w:pPr>
      <w:bookmarkStart w:id="17" w:name="_Toc87360252"/>
      <w:bookmarkStart w:id="18" w:name="_Toc24654"/>
      <w:r>
        <w:rPr>
          <w:rFonts w:ascii="黑体" w:eastAsia="黑体" w:hAnsi="黑体" w:cs="黑体"/>
          <w:bCs/>
          <w:spacing w:val="-5"/>
        </w:rPr>
        <w:t>术语和定义</w:t>
      </w:r>
      <w:bookmarkEnd w:id="17"/>
      <w:bookmarkEnd w:id="18"/>
    </w:p>
    <w:p w14:paraId="01498217" w14:textId="77777777" w:rsidR="00E46DA7" w:rsidRDefault="00B067D2">
      <w:pPr>
        <w:spacing w:after="0" w:line="240" w:lineRule="auto"/>
        <w:ind w:firstLineChars="200" w:firstLine="400"/>
        <w:jc w:val="both"/>
        <w:rPr>
          <w:rFonts w:ascii="宋体" w:eastAsia="宋体" w:hAnsi="宋体" w:cs="微软雅黑"/>
          <w:spacing w:val="-5"/>
        </w:rPr>
      </w:pPr>
      <w:r>
        <w:rPr>
          <w:rFonts w:ascii="宋体" w:eastAsia="宋体" w:hAnsi="宋体" w:cs="微软雅黑"/>
          <w:spacing w:val="-5"/>
        </w:rPr>
        <w:t>下列术语和定义适用于本文件。</w:t>
      </w:r>
    </w:p>
    <w:p w14:paraId="7C105FC1" w14:textId="77777777" w:rsidR="00E46DA7" w:rsidRDefault="00B067D2">
      <w:pPr>
        <w:pStyle w:val="11"/>
        <w:numPr>
          <w:ilvl w:val="1"/>
          <w:numId w:val="3"/>
        </w:numPr>
        <w:spacing w:beforeLines="50" w:before="156" w:afterLines="50" w:after="156" w:line="240" w:lineRule="auto"/>
        <w:ind w:left="0" w:firstLineChars="0"/>
        <w:outlineLvl w:val="2"/>
        <w:rPr>
          <w:rFonts w:ascii="黑体" w:hAnsi="黑体" w:cs="黑体"/>
          <w:bCs/>
          <w:spacing w:val="-3"/>
        </w:rPr>
      </w:pPr>
      <w:r>
        <w:rPr>
          <w:rFonts w:ascii="黑体" w:hAnsi="黑体" w:cs="黑体" w:hint="eastAsia"/>
          <w:bCs/>
          <w:spacing w:val="-3"/>
        </w:rPr>
        <w:t xml:space="preserve"> </w:t>
      </w:r>
      <w:bookmarkStart w:id="19" w:name="_Toc87360253"/>
      <w:bookmarkEnd w:id="19"/>
    </w:p>
    <w:p w14:paraId="1B36602F" w14:textId="77777777" w:rsidR="00E46DA7" w:rsidRDefault="00B067D2">
      <w:pPr>
        <w:pStyle w:val="11"/>
        <w:spacing w:after="0" w:line="240" w:lineRule="auto"/>
        <w:ind w:firstLine="408"/>
        <w:jc w:val="both"/>
        <w:rPr>
          <w:rFonts w:ascii="黑体" w:eastAsia="黑体" w:hAnsi="黑体" w:cs="黑体"/>
          <w:bCs/>
          <w:spacing w:val="-3"/>
        </w:rPr>
      </w:pPr>
      <w:r>
        <w:rPr>
          <w:rFonts w:ascii="黑体" w:eastAsia="黑体" w:hAnsi="黑体" w:cs="黑体" w:hint="eastAsia"/>
          <w:bCs/>
          <w:spacing w:val="-3"/>
        </w:rPr>
        <w:t>城市配送</w:t>
      </w:r>
      <w:r>
        <w:rPr>
          <w:rFonts w:ascii="黑体" w:eastAsia="黑体" w:hAnsi="黑体" w:cs="黑体" w:hint="eastAsia"/>
          <w:bCs/>
          <w:spacing w:val="-3"/>
        </w:rPr>
        <w:t xml:space="preserve"> </w:t>
      </w:r>
      <w:r>
        <w:rPr>
          <w:rFonts w:ascii="黑体" w:eastAsia="黑体" w:hAnsi="黑体" w:cs="黑体" w:hint="eastAsia"/>
          <w:bCs/>
          <w:spacing w:val="-3"/>
        </w:rPr>
        <w:t>d</w:t>
      </w:r>
      <w:r>
        <w:rPr>
          <w:rFonts w:ascii="黑体" w:eastAsia="黑体" w:hAnsi="黑体" w:cs="黑体"/>
          <w:bCs/>
          <w:spacing w:val="-3"/>
        </w:rPr>
        <w:t>istribution</w:t>
      </w:r>
    </w:p>
    <w:p w14:paraId="1014ADD7" w14:textId="77777777" w:rsidR="00E46DA7" w:rsidRDefault="00B067D2">
      <w:pPr>
        <w:pStyle w:val="11"/>
        <w:spacing w:after="0" w:line="240" w:lineRule="auto"/>
        <w:ind w:firstLine="408"/>
        <w:jc w:val="both"/>
        <w:rPr>
          <w:rFonts w:ascii="宋体" w:eastAsia="宋体" w:hAnsi="宋体" w:cs="黑体"/>
          <w:bCs/>
          <w:spacing w:val="-3"/>
        </w:rPr>
      </w:pPr>
      <w:r>
        <w:rPr>
          <w:rFonts w:ascii="宋体" w:eastAsia="宋体" w:hAnsi="宋体" w:cs="黑体" w:hint="eastAsia"/>
          <w:bCs/>
          <w:spacing w:val="-3"/>
        </w:rPr>
        <w:t>是指服务于城区以及市近郊的货物配送活动，在经济合理区域内，根据客户的要求对物品进行</w:t>
      </w:r>
      <w:r>
        <w:rPr>
          <w:rFonts w:ascii="宋体" w:eastAsia="宋体" w:hAnsi="宋体" w:cs="黑体" w:hint="eastAsia"/>
          <w:bCs/>
          <w:spacing w:val="-3"/>
        </w:rPr>
        <w:t>拣选、</w:t>
      </w:r>
      <w:r>
        <w:rPr>
          <w:rFonts w:ascii="宋体" w:eastAsia="宋体" w:hAnsi="宋体" w:cs="黑体" w:hint="eastAsia"/>
          <w:bCs/>
          <w:spacing w:val="-3"/>
        </w:rPr>
        <w:t>加工、包装、分割、组配等作业，并按时送达指定地点的</w:t>
      </w:r>
      <w:hyperlink r:id="rId18" w:tgtFrame="https://baike.so.com/doc/_blank" w:history="1">
        <w:r>
          <w:rPr>
            <w:rFonts w:ascii="宋体" w:eastAsia="宋体" w:hAnsi="宋体" w:cs="黑体"/>
            <w:bCs/>
            <w:spacing w:val="-3"/>
          </w:rPr>
          <w:t>物流</w:t>
        </w:r>
      </w:hyperlink>
      <w:r>
        <w:rPr>
          <w:rFonts w:ascii="宋体" w:eastAsia="宋体" w:hAnsi="宋体" w:cs="黑体"/>
          <w:bCs/>
          <w:spacing w:val="-3"/>
        </w:rPr>
        <w:t>活动。</w:t>
      </w:r>
    </w:p>
    <w:p w14:paraId="045DBE84" w14:textId="77777777" w:rsidR="00E46DA7" w:rsidRDefault="00E46DA7">
      <w:pPr>
        <w:pStyle w:val="11"/>
        <w:numPr>
          <w:ilvl w:val="1"/>
          <w:numId w:val="3"/>
        </w:numPr>
        <w:spacing w:beforeLines="50" w:before="156" w:afterLines="50" w:after="156" w:line="240" w:lineRule="auto"/>
        <w:ind w:left="0" w:firstLineChars="0"/>
        <w:outlineLvl w:val="2"/>
        <w:rPr>
          <w:rFonts w:ascii="黑体" w:eastAsia="黑体" w:hAnsi="黑体" w:cs="黑体"/>
          <w:bCs/>
          <w:spacing w:val="-3"/>
        </w:rPr>
      </w:pPr>
      <w:bookmarkStart w:id="20" w:name="_Toc87360254"/>
      <w:bookmarkEnd w:id="20"/>
    </w:p>
    <w:p w14:paraId="1B628447" w14:textId="77777777" w:rsidR="00E46DA7" w:rsidRDefault="00B067D2">
      <w:pPr>
        <w:pStyle w:val="11"/>
        <w:spacing w:after="0" w:line="240" w:lineRule="auto"/>
        <w:ind w:firstLine="408"/>
        <w:jc w:val="both"/>
        <w:rPr>
          <w:rFonts w:ascii="黑体" w:eastAsia="黑体" w:hAnsi="黑体" w:cs="黑体"/>
          <w:bCs/>
          <w:spacing w:val="-3"/>
        </w:rPr>
      </w:pPr>
      <w:r>
        <w:rPr>
          <w:rFonts w:ascii="黑体" w:eastAsia="黑体" w:hAnsi="黑体" w:cs="黑体" w:hint="eastAsia"/>
          <w:bCs/>
          <w:spacing w:val="-3"/>
        </w:rPr>
        <w:t>绿色物流</w:t>
      </w:r>
      <w:r>
        <w:rPr>
          <w:rFonts w:ascii="黑体" w:eastAsia="黑体" w:hAnsi="黑体" w:cs="黑体" w:hint="eastAsia"/>
          <w:bCs/>
          <w:spacing w:val="-3"/>
        </w:rPr>
        <w:t xml:space="preserve"> </w:t>
      </w:r>
      <w:r>
        <w:rPr>
          <w:rFonts w:ascii="黑体" w:eastAsia="黑体" w:hAnsi="黑体" w:cs="黑体"/>
          <w:bCs/>
          <w:spacing w:val="-3"/>
        </w:rPr>
        <w:t>green logistics</w:t>
      </w:r>
    </w:p>
    <w:p w14:paraId="2D7965B8" w14:textId="77777777" w:rsidR="00E46DA7" w:rsidRDefault="00B067D2">
      <w:pPr>
        <w:pStyle w:val="11"/>
        <w:spacing w:after="0" w:line="240" w:lineRule="auto"/>
        <w:ind w:firstLine="408"/>
        <w:jc w:val="both"/>
        <w:rPr>
          <w:rFonts w:ascii="宋体" w:eastAsia="宋体" w:hAnsi="宋体" w:cs="黑体"/>
          <w:bCs/>
          <w:color w:val="FF0000"/>
          <w:spacing w:val="-3"/>
        </w:rPr>
      </w:pPr>
      <w:r>
        <w:rPr>
          <w:rFonts w:ascii="宋体" w:eastAsia="宋体" w:hAnsi="宋体" w:cs="黑体" w:hint="eastAsia"/>
          <w:bCs/>
          <w:spacing w:val="-3"/>
        </w:rPr>
        <w:t>通过充分利用物流资源，采用先进的物流技术，合理规划和实施运输、储存、搬运、包装、流通、</w:t>
      </w:r>
      <w:r>
        <w:rPr>
          <w:rFonts w:ascii="宋体" w:eastAsia="宋体" w:hAnsi="宋体" w:cs="黑体" w:hint="eastAsia"/>
          <w:bCs/>
          <w:spacing w:val="-3"/>
        </w:rPr>
        <w:lastRenderedPageBreak/>
        <w:t>加</w:t>
      </w:r>
      <w:r>
        <w:rPr>
          <w:rFonts w:ascii="宋体" w:eastAsia="宋体" w:hAnsi="宋体" w:cs="黑体" w:hint="eastAsia"/>
          <w:bCs/>
          <w:spacing w:val="-3"/>
        </w:rPr>
        <w:t>工、配送、信息处理等物流活动，降低物流活动对环境影响的过程。</w:t>
      </w:r>
      <w:r>
        <w:rPr>
          <w:rFonts w:hAnsi="宋体" w:cs="宋体" w:hint="eastAsia"/>
          <w:color w:val="FF0000"/>
        </w:rPr>
        <w:t>GB/T</w:t>
      </w:r>
      <w:r>
        <w:rPr>
          <w:rFonts w:hAnsi="宋体" w:cs="宋体" w:hint="eastAsia"/>
          <w:color w:val="FF0000"/>
        </w:rPr>
        <w:t> </w:t>
      </w:r>
      <w:r>
        <w:rPr>
          <w:rFonts w:hAnsi="宋体" w:cs="宋体" w:hint="eastAsia"/>
          <w:color w:val="FF0000"/>
        </w:rPr>
        <w:t>37099</w:t>
      </w:r>
    </w:p>
    <w:p w14:paraId="25401A17" w14:textId="77777777" w:rsidR="00E46DA7" w:rsidRDefault="00E46DA7">
      <w:pPr>
        <w:pStyle w:val="11"/>
        <w:numPr>
          <w:ilvl w:val="1"/>
          <w:numId w:val="3"/>
        </w:numPr>
        <w:spacing w:beforeLines="50" w:before="156" w:afterLines="50" w:after="156" w:line="240" w:lineRule="auto"/>
        <w:ind w:left="0" w:firstLineChars="0"/>
        <w:outlineLvl w:val="2"/>
        <w:rPr>
          <w:rFonts w:ascii="黑体" w:eastAsia="黑体" w:hAnsi="黑体" w:cs="黑体"/>
          <w:bCs/>
          <w:spacing w:val="-3"/>
        </w:rPr>
      </w:pPr>
      <w:bookmarkStart w:id="21" w:name="_Toc87360255"/>
      <w:bookmarkEnd w:id="21"/>
    </w:p>
    <w:p w14:paraId="27359A75" w14:textId="77777777" w:rsidR="00E46DA7" w:rsidRDefault="00B067D2">
      <w:pPr>
        <w:pStyle w:val="11"/>
        <w:spacing w:after="0" w:line="240" w:lineRule="auto"/>
        <w:ind w:firstLine="408"/>
        <w:jc w:val="both"/>
        <w:rPr>
          <w:rFonts w:ascii="黑体" w:eastAsia="黑体" w:hAnsi="黑体" w:cs="黑体"/>
          <w:bCs/>
          <w:spacing w:val="-3"/>
        </w:rPr>
      </w:pPr>
      <w:r>
        <w:rPr>
          <w:rFonts w:ascii="黑体" w:eastAsia="黑体" w:hAnsi="黑体" w:cs="黑体" w:hint="eastAsia"/>
          <w:bCs/>
          <w:spacing w:val="-3"/>
        </w:rPr>
        <w:t>绿色城市配送</w:t>
      </w:r>
      <w:r>
        <w:rPr>
          <w:rFonts w:ascii="黑体" w:eastAsia="黑体" w:hAnsi="黑体" w:cs="黑体" w:hint="eastAsia"/>
          <w:bCs/>
          <w:spacing w:val="-3"/>
        </w:rPr>
        <w:t>green city d</w:t>
      </w:r>
      <w:r>
        <w:rPr>
          <w:rFonts w:ascii="黑体" w:eastAsia="黑体" w:hAnsi="黑体" w:cs="黑体"/>
          <w:bCs/>
          <w:spacing w:val="-3"/>
        </w:rPr>
        <w:t>istribution</w:t>
      </w:r>
    </w:p>
    <w:p w14:paraId="4E733386" w14:textId="77777777" w:rsidR="00E46DA7" w:rsidRDefault="00B067D2">
      <w:pPr>
        <w:pStyle w:val="11"/>
        <w:spacing w:beforeLines="50" w:before="156" w:afterLines="50" w:after="156" w:line="240" w:lineRule="auto"/>
        <w:ind w:firstLine="408"/>
        <w:jc w:val="both"/>
        <w:rPr>
          <w:rFonts w:ascii="黑体" w:eastAsia="黑体" w:hAnsi="黑体" w:cs="黑体"/>
          <w:bCs/>
          <w:spacing w:val="-3"/>
        </w:rPr>
      </w:pPr>
      <w:r>
        <w:rPr>
          <w:rFonts w:ascii="宋体" w:eastAsia="宋体" w:hAnsi="宋体" w:cs="黑体" w:hint="eastAsia"/>
          <w:bCs/>
          <w:spacing w:val="-3"/>
        </w:rPr>
        <w:t>在</w:t>
      </w:r>
      <w:r>
        <w:rPr>
          <w:rFonts w:ascii="宋体" w:eastAsia="宋体" w:hAnsi="宋体" w:cs="黑体" w:hint="eastAsia"/>
          <w:bCs/>
          <w:spacing w:val="-3"/>
        </w:rPr>
        <w:t>城区以及市近郊的货物配送活动</w:t>
      </w:r>
      <w:r>
        <w:rPr>
          <w:rFonts w:ascii="宋体" w:eastAsia="宋体" w:hAnsi="宋体" w:cs="黑体" w:hint="eastAsia"/>
          <w:bCs/>
          <w:spacing w:val="-3"/>
        </w:rPr>
        <w:t>中，</w:t>
      </w:r>
      <w:r>
        <w:rPr>
          <w:rFonts w:ascii="宋体" w:eastAsia="宋体" w:hAnsi="宋体" w:cs="黑体" w:hint="eastAsia"/>
          <w:bCs/>
          <w:spacing w:val="-3"/>
        </w:rPr>
        <w:t>通过选择合理运输车辆和运输线路、科学配装等措施，高效利用车辆，降低车辆等配送设备的环境污染和能耗，实现环保、节能高效的配送方式。</w:t>
      </w:r>
    </w:p>
    <w:p w14:paraId="348C7E49" w14:textId="77777777" w:rsidR="00E46DA7" w:rsidRDefault="00B067D2">
      <w:pPr>
        <w:pStyle w:val="11"/>
        <w:numPr>
          <w:ilvl w:val="0"/>
          <w:numId w:val="2"/>
        </w:numPr>
        <w:spacing w:beforeLines="100" w:before="312" w:afterLines="100" w:after="312" w:line="240" w:lineRule="auto"/>
        <w:ind w:firstLineChars="0"/>
        <w:jc w:val="both"/>
        <w:outlineLvl w:val="0"/>
        <w:rPr>
          <w:rFonts w:ascii="黑体" w:eastAsia="黑体" w:hAnsi="黑体"/>
          <w:bCs/>
        </w:rPr>
      </w:pPr>
      <w:bookmarkStart w:id="22" w:name="_Toc87360256"/>
      <w:bookmarkStart w:id="23" w:name="_Toc87360258"/>
      <w:bookmarkStart w:id="24" w:name="_Toc21624"/>
      <w:bookmarkEnd w:id="22"/>
      <w:r>
        <w:rPr>
          <w:rFonts w:ascii="黑体" w:eastAsia="黑体" w:hAnsi="黑体" w:cs="黑体" w:hint="eastAsia"/>
          <w:bCs/>
          <w:spacing w:val="-5"/>
        </w:rPr>
        <w:t>基本要求</w:t>
      </w:r>
      <w:bookmarkEnd w:id="23"/>
      <w:bookmarkEnd w:id="24"/>
    </w:p>
    <w:p w14:paraId="0CD591DC" w14:textId="77777777" w:rsidR="00E46DA7" w:rsidRDefault="00B067D2">
      <w:pPr>
        <w:pStyle w:val="11"/>
        <w:numPr>
          <w:ilvl w:val="1"/>
          <w:numId w:val="2"/>
        </w:numPr>
        <w:spacing w:beforeLines="50" w:before="156" w:afterLines="50" w:after="156" w:line="240" w:lineRule="auto"/>
        <w:ind w:firstLineChars="0"/>
        <w:outlineLvl w:val="3"/>
        <w:rPr>
          <w:rFonts w:ascii="黑体" w:eastAsia="黑体" w:hAnsi="黑体" w:cs="黑体"/>
          <w:spacing w:val="-6"/>
          <w:position w:val="3"/>
          <w:szCs w:val="21"/>
        </w:rPr>
      </w:pPr>
      <w:r>
        <w:rPr>
          <w:rFonts w:ascii="黑体" w:eastAsia="黑体" w:hAnsi="黑体" w:cs="黑体" w:hint="eastAsia"/>
          <w:spacing w:val="-6"/>
          <w:position w:val="3"/>
          <w:szCs w:val="21"/>
        </w:rPr>
        <w:t>基本原则</w:t>
      </w:r>
    </w:p>
    <w:p w14:paraId="78496881" w14:textId="77777777" w:rsidR="00E46DA7" w:rsidRDefault="00B067D2">
      <w:pPr>
        <w:pStyle w:val="11"/>
        <w:numPr>
          <w:ilvl w:val="2"/>
          <w:numId w:val="4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6"/>
          <w:position w:val="3"/>
        </w:rPr>
      </w:pPr>
      <w:r>
        <w:rPr>
          <w:rFonts w:ascii="Arial" w:hAnsi="Arial" w:cs="Arial" w:hint="eastAsia"/>
          <w:color w:val="0000FF"/>
          <w:szCs w:val="21"/>
          <w:shd w:val="clear" w:color="auto" w:fill="FFFFFF"/>
        </w:rPr>
        <w:t>应贯彻绿色可持续发展理念，坚持环境保护，资源节约，低碳经济、循环利用的原则。</w:t>
      </w:r>
    </w:p>
    <w:p w14:paraId="333B16EC" w14:textId="77777777" w:rsidR="00E46DA7" w:rsidRDefault="00B067D2">
      <w:pPr>
        <w:pStyle w:val="11"/>
        <w:numPr>
          <w:ilvl w:val="2"/>
          <w:numId w:val="4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6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应成立绿色物流发展管理组织机构，建立绿色物流发展的相关规章制度，设立节能减排管理岗位，明确岗位职责，日常运行、检测、设备维护制度齐全，配置专职管理人员。制定绿色物流发展规划及实施方案，</w:t>
      </w:r>
      <w:proofErr w:type="gramStart"/>
      <w:r>
        <w:rPr>
          <w:rFonts w:ascii="Arial" w:hAnsi="Arial" w:cs="Arial" w:hint="eastAsia"/>
          <w:szCs w:val="21"/>
          <w:shd w:val="clear" w:color="auto" w:fill="FFFFFF"/>
        </w:rPr>
        <w:t>确定减碳目标</w:t>
      </w:r>
      <w:proofErr w:type="gramEnd"/>
      <w:r>
        <w:rPr>
          <w:rFonts w:ascii="Arial" w:hAnsi="Arial" w:cs="Arial" w:hint="eastAsia"/>
          <w:szCs w:val="21"/>
          <w:shd w:val="clear" w:color="auto" w:fill="FFFFFF"/>
        </w:rPr>
        <w:t>，并将绿色物流发展管理纳入企业负责人的绩效考核中。</w:t>
      </w:r>
    </w:p>
    <w:p w14:paraId="7CEB3186" w14:textId="77777777" w:rsidR="00E46DA7" w:rsidRDefault="00B067D2">
      <w:pPr>
        <w:pStyle w:val="11"/>
        <w:numPr>
          <w:ilvl w:val="2"/>
          <w:numId w:val="4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6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根据城市配送“多品种、小批量、多批次、短周期”的特点，按照四共一同，即“共用仓配中心、共用配送车辆、共享网络信息、共享网点资源、同程配单”的原则配送。</w:t>
      </w:r>
    </w:p>
    <w:p w14:paraId="65D7E10E" w14:textId="77777777" w:rsidR="00E46DA7" w:rsidRDefault="00B067D2">
      <w:pPr>
        <w:pStyle w:val="11"/>
        <w:numPr>
          <w:ilvl w:val="2"/>
          <w:numId w:val="4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6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依托大数据提供决策支撑，提高效率，降低成本。</w:t>
      </w:r>
    </w:p>
    <w:p w14:paraId="25E1CE33" w14:textId="77777777" w:rsidR="00E46DA7" w:rsidRDefault="00B067D2">
      <w:pPr>
        <w:pStyle w:val="11"/>
        <w:numPr>
          <w:ilvl w:val="2"/>
          <w:numId w:val="4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6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应优先选用节能环保型设备，减少设备使用过程中的能源消耗和环境污染</w:t>
      </w:r>
      <w:r>
        <w:rPr>
          <w:rFonts w:ascii="Arial" w:hAnsi="Arial" w:cs="Arial"/>
          <w:szCs w:val="21"/>
          <w:shd w:val="clear" w:color="auto" w:fill="FFFFFF"/>
        </w:rPr>
        <w:t>(</w:t>
      </w:r>
      <w:r>
        <w:rPr>
          <w:rFonts w:ascii="Arial" w:hAnsi="Arial" w:cs="Arial" w:hint="eastAsia"/>
          <w:szCs w:val="21"/>
          <w:shd w:val="clear" w:color="auto" w:fill="FFFFFF"/>
        </w:rPr>
        <w:t>如搬运装卸节能设备电动叉车、电动牵引车、电动平台搬运输送机；采用</w:t>
      </w:r>
      <w:r>
        <w:rPr>
          <w:rFonts w:ascii="Arial" w:hAnsi="Arial" w:cs="Arial" w:hint="eastAsia"/>
          <w:szCs w:val="21"/>
          <w:shd w:val="clear" w:color="auto" w:fill="FFFFFF"/>
        </w:rPr>
        <w:t>LED</w:t>
      </w:r>
      <w:r>
        <w:rPr>
          <w:rFonts w:ascii="Arial" w:hAnsi="Arial" w:cs="Arial" w:hint="eastAsia"/>
          <w:szCs w:val="21"/>
          <w:shd w:val="clear" w:color="auto" w:fill="FFFFFF"/>
        </w:rPr>
        <w:t>照明灯具、室内公共照明系统采取分区定时，红外感应节能控制措施；利用太阳能储热系统，采用太阳能发电，地缘热泵，污水回收雨水再利用、采用节水型用水器具、无纸化办公，电子面单等）。</w:t>
      </w:r>
    </w:p>
    <w:p w14:paraId="62B03485" w14:textId="77777777" w:rsidR="00E46DA7" w:rsidRDefault="00B067D2">
      <w:pPr>
        <w:pStyle w:val="11"/>
        <w:numPr>
          <w:ilvl w:val="2"/>
          <w:numId w:val="4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6"/>
          <w:position w:val="3"/>
        </w:rPr>
      </w:pPr>
      <w:r>
        <w:rPr>
          <w:rFonts w:ascii="Arial" w:hAnsi="Arial" w:cs="Arial" w:hint="eastAsia"/>
          <w:color w:val="0000FF"/>
          <w:szCs w:val="21"/>
          <w:shd w:val="clear" w:color="auto" w:fill="FFFFFF"/>
        </w:rPr>
        <w:t>应</w:t>
      </w:r>
      <w:r>
        <w:rPr>
          <w:rFonts w:ascii="Arial" w:hAnsi="Arial" w:cs="Arial" w:hint="eastAsia"/>
          <w:color w:val="0000FF"/>
          <w:szCs w:val="21"/>
          <w:shd w:val="clear" w:color="auto" w:fill="FFFFFF"/>
        </w:rPr>
        <w:t>利用信息技术、信息系统，对物流配送过程</w:t>
      </w:r>
      <w:r>
        <w:rPr>
          <w:rFonts w:ascii="Arial" w:hAnsi="Arial" w:cs="Arial" w:hint="eastAsia"/>
          <w:color w:val="FF0000"/>
          <w:szCs w:val="21"/>
          <w:shd w:val="clear" w:color="auto" w:fill="FFFFFF"/>
        </w:rPr>
        <w:t>进行</w:t>
      </w:r>
      <w:r>
        <w:rPr>
          <w:rFonts w:ascii="Arial" w:hAnsi="Arial" w:cs="Arial" w:hint="eastAsia"/>
          <w:color w:val="0000FF"/>
          <w:szCs w:val="21"/>
          <w:shd w:val="clear" w:color="auto" w:fill="FFFFFF"/>
        </w:rPr>
        <w:t>规划设计，优化配送资源配置。</w:t>
      </w:r>
    </w:p>
    <w:p w14:paraId="1CDBC2C9" w14:textId="77777777" w:rsidR="00E46DA7" w:rsidRDefault="00B067D2">
      <w:pPr>
        <w:pStyle w:val="11"/>
        <w:numPr>
          <w:ilvl w:val="2"/>
          <w:numId w:val="4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6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在配送过程中选用可修复、可更换的设备，循环使用非一次性资源（如标准托盘和标准周转箱）。</w:t>
      </w:r>
    </w:p>
    <w:p w14:paraId="35CC6526" w14:textId="77777777" w:rsidR="00E46DA7" w:rsidRDefault="00B067D2">
      <w:pPr>
        <w:pStyle w:val="11"/>
        <w:numPr>
          <w:ilvl w:val="2"/>
          <w:numId w:val="4"/>
        </w:numPr>
        <w:spacing w:after="0" w:line="240" w:lineRule="auto"/>
        <w:ind w:firstLineChars="0"/>
        <w:outlineLvl w:val="3"/>
        <w:rPr>
          <w:rFonts w:ascii="黑体" w:eastAsia="黑体" w:hAnsi="黑体" w:cs="黑体"/>
          <w:spacing w:val="-4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最大限度地使用节能技术、清洁能源、及节能环保材料。</w:t>
      </w:r>
    </w:p>
    <w:p w14:paraId="7D512B42" w14:textId="77777777" w:rsidR="00E46DA7" w:rsidRDefault="00B067D2">
      <w:pPr>
        <w:pStyle w:val="11"/>
        <w:numPr>
          <w:ilvl w:val="1"/>
          <w:numId w:val="2"/>
        </w:numPr>
        <w:spacing w:beforeLines="50" w:before="156" w:afterLines="50" w:after="156" w:line="240" w:lineRule="auto"/>
        <w:ind w:firstLineChars="0"/>
        <w:outlineLvl w:val="3"/>
        <w:rPr>
          <w:rFonts w:ascii="黑体" w:eastAsia="黑体" w:hAnsi="黑体" w:cs="黑体"/>
          <w:spacing w:val="-6"/>
          <w:position w:val="3"/>
          <w:szCs w:val="21"/>
        </w:rPr>
      </w:pPr>
      <w:r>
        <w:rPr>
          <w:rFonts w:ascii="黑体" w:eastAsia="黑体" w:hAnsi="黑体" w:cs="黑体" w:hint="eastAsia"/>
          <w:spacing w:val="-6"/>
          <w:position w:val="3"/>
          <w:szCs w:val="21"/>
        </w:rPr>
        <w:t>基本条件</w:t>
      </w:r>
    </w:p>
    <w:p w14:paraId="2DF5759E" w14:textId="5EDECAA1" w:rsidR="00E46DA7" w:rsidRDefault="00B067D2">
      <w:pPr>
        <w:pStyle w:val="11"/>
        <w:numPr>
          <w:ilvl w:val="2"/>
          <w:numId w:val="5"/>
        </w:numPr>
        <w:spacing w:after="0" w:line="240" w:lineRule="auto"/>
        <w:ind w:left="709" w:firstLineChars="0" w:hanging="709"/>
        <w:outlineLvl w:val="3"/>
        <w:rPr>
          <w:rFonts w:ascii="黑体" w:eastAsia="黑体" w:hAnsi="黑体" w:cs="黑体"/>
          <w:spacing w:val="-4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从业人员应进行绿色物流管理制度、标准的培训（如企业能源管理制度、绿色采购制度、包装物回收制度、绿色宣传培训考核制度及记录、</w:t>
      </w:r>
      <w:r>
        <w:rPr>
          <w:rFonts w:ascii="Arial" w:hAnsi="Arial" w:cs="Arial" w:hint="eastAsia"/>
          <w:color w:val="0000FF"/>
          <w:szCs w:val="21"/>
          <w:shd w:val="clear" w:color="auto" w:fill="FFFFFF"/>
        </w:rPr>
        <w:t>驾驶员节能培训等。</w:t>
      </w:r>
      <w:r>
        <w:rPr>
          <w:rFonts w:ascii="Arial" w:hAnsi="Arial" w:cs="Arial" w:hint="eastAsia"/>
          <w:szCs w:val="21"/>
          <w:shd w:val="clear" w:color="auto" w:fill="FFFFFF"/>
        </w:rPr>
        <w:t>）鼓励员工参与人力资源和社会保障部、</w:t>
      </w:r>
      <w:r w:rsidR="00064D9A">
        <w:rPr>
          <w:rFonts w:ascii="Arial" w:hAnsi="Arial" w:cs="Arial" w:hint="eastAsia"/>
          <w:szCs w:val="21"/>
          <w:shd w:val="clear" w:color="auto" w:fill="FFFFFF"/>
        </w:rPr>
        <w:t>国家市场监督管理总局</w:t>
      </w:r>
      <w:r>
        <w:rPr>
          <w:rFonts w:ascii="Arial" w:hAnsi="Arial" w:cs="Arial" w:hint="eastAsia"/>
          <w:szCs w:val="21"/>
          <w:shd w:val="clear" w:color="auto" w:fill="FFFFFF"/>
        </w:rPr>
        <w:t>、国家统计局发布的“碳排放管理员”和“能源管理员”的在职教育和资质培训。特殊工位的从业人员应具备相应有效的职业资质。</w:t>
      </w:r>
    </w:p>
    <w:p w14:paraId="3CAE04F1" w14:textId="77777777" w:rsidR="00E46DA7" w:rsidRDefault="00B067D2">
      <w:pPr>
        <w:pStyle w:val="11"/>
        <w:numPr>
          <w:ilvl w:val="2"/>
          <w:numId w:val="5"/>
        </w:numPr>
        <w:spacing w:after="0" w:line="240" w:lineRule="auto"/>
        <w:ind w:left="709" w:firstLineChars="0" w:hanging="709"/>
        <w:outlineLvl w:val="3"/>
        <w:rPr>
          <w:rFonts w:ascii="黑体" w:eastAsia="黑体" w:hAnsi="黑体" w:cs="黑体"/>
          <w:spacing w:val="-4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应具有绿色配送服务需要的设施设备和信息系统，以保证配送服务效率。</w:t>
      </w:r>
    </w:p>
    <w:p w14:paraId="7B006385" w14:textId="77777777" w:rsidR="00E46DA7" w:rsidRDefault="00B067D2">
      <w:pPr>
        <w:pStyle w:val="11"/>
        <w:numPr>
          <w:ilvl w:val="2"/>
          <w:numId w:val="5"/>
        </w:numPr>
        <w:spacing w:after="0" w:line="240" w:lineRule="auto"/>
        <w:ind w:left="709" w:firstLineChars="0" w:hanging="709"/>
        <w:outlineLvl w:val="3"/>
        <w:rPr>
          <w:rFonts w:ascii="黑体" w:eastAsia="黑体" w:hAnsi="黑体" w:cs="黑体"/>
          <w:spacing w:val="-4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设计配送业务流程并严格执行。能够按照客户要求在规定时间内完成拣选、加工、包装、组配、送达等业务。</w:t>
      </w:r>
    </w:p>
    <w:p w14:paraId="58F6DA94" w14:textId="77777777" w:rsidR="00E46DA7" w:rsidRDefault="00B067D2">
      <w:pPr>
        <w:pStyle w:val="11"/>
        <w:numPr>
          <w:ilvl w:val="0"/>
          <w:numId w:val="2"/>
        </w:numPr>
        <w:spacing w:beforeLines="100" w:before="312" w:afterLines="100" w:after="312" w:line="240" w:lineRule="auto"/>
        <w:ind w:firstLineChars="0"/>
        <w:jc w:val="both"/>
        <w:outlineLvl w:val="0"/>
        <w:rPr>
          <w:rFonts w:ascii="黑体" w:eastAsia="黑体" w:hAnsi="黑体" w:cs="黑体"/>
          <w:bCs/>
          <w:spacing w:val="-5"/>
        </w:rPr>
      </w:pPr>
      <w:bookmarkStart w:id="25" w:name="_Toc1337"/>
      <w:r>
        <w:rPr>
          <w:rFonts w:ascii="黑体" w:eastAsia="黑体" w:hAnsi="黑体" w:cs="黑体" w:hint="eastAsia"/>
          <w:bCs/>
          <w:spacing w:val="-5"/>
        </w:rPr>
        <w:t>绿色配送人员</w:t>
      </w:r>
      <w:bookmarkEnd w:id="25"/>
    </w:p>
    <w:p w14:paraId="112C43F3" w14:textId="77777777" w:rsidR="00E46DA7" w:rsidRDefault="00B067D2">
      <w:pPr>
        <w:pStyle w:val="11"/>
        <w:numPr>
          <w:ilvl w:val="1"/>
          <w:numId w:val="6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配送人员上岗前应完成绿色安全操作培训（如员工人</w:t>
      </w:r>
      <w:r>
        <w:rPr>
          <w:rFonts w:ascii="Arial" w:hAnsi="Arial" w:cs="Arial" w:hint="eastAsia"/>
          <w:color w:val="0000FF"/>
          <w:szCs w:val="21"/>
          <w:shd w:val="clear" w:color="auto" w:fill="FFFFFF"/>
        </w:rPr>
        <w:t>身</w:t>
      </w:r>
      <w:r>
        <w:rPr>
          <w:rFonts w:ascii="Arial" w:hAnsi="Arial" w:cs="Arial" w:hint="eastAsia"/>
          <w:szCs w:val="21"/>
          <w:shd w:val="clear" w:color="auto" w:fill="FFFFFF"/>
        </w:rPr>
        <w:t>安全责任制、</w:t>
      </w:r>
      <w:r>
        <w:rPr>
          <w:rFonts w:ascii="Arial" w:hAnsi="Arial" w:cs="Arial" w:hint="eastAsia"/>
          <w:color w:val="1F497D" w:themeColor="text2"/>
          <w:szCs w:val="21"/>
          <w:shd w:val="clear" w:color="auto" w:fill="FFFFFF"/>
        </w:rPr>
        <w:t>环境等突发事件应急预案处置、</w:t>
      </w:r>
      <w:r>
        <w:rPr>
          <w:rFonts w:ascii="Arial" w:hAnsi="Arial" w:cs="Arial" w:hint="eastAsia"/>
          <w:szCs w:val="21"/>
          <w:shd w:val="clear" w:color="auto" w:fill="FFFFFF"/>
        </w:rPr>
        <w:t>消防安全设施培训等）。定期开展安全培训，提升应对突发事件的能力。从事特殊岗</w:t>
      </w:r>
      <w:r>
        <w:rPr>
          <w:rFonts w:ascii="Arial" w:hAnsi="Arial" w:cs="Arial" w:hint="eastAsia"/>
          <w:szCs w:val="21"/>
          <w:shd w:val="clear" w:color="auto" w:fill="FFFFFF"/>
        </w:rPr>
        <w:t>位人员</w:t>
      </w:r>
      <w:r>
        <w:rPr>
          <w:rFonts w:ascii="Arial" w:hAnsi="Arial" w:cs="Arial" w:hint="eastAsia"/>
          <w:szCs w:val="21"/>
          <w:shd w:val="clear" w:color="auto" w:fill="FFFFFF"/>
        </w:rPr>
        <w:lastRenderedPageBreak/>
        <w:t>应具备相应有效的职业资质。</w:t>
      </w:r>
    </w:p>
    <w:p w14:paraId="6A376F22" w14:textId="77777777" w:rsidR="00E46DA7" w:rsidRDefault="00B067D2">
      <w:pPr>
        <w:pStyle w:val="11"/>
        <w:numPr>
          <w:ilvl w:val="1"/>
          <w:numId w:val="6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配送人员上岗前应熟悉常用设备的节能环保知识、岗位标准、操作规范及相关标准。</w:t>
      </w:r>
    </w:p>
    <w:p w14:paraId="6BAF4B7B" w14:textId="77777777" w:rsidR="00E46DA7" w:rsidRDefault="00B067D2">
      <w:pPr>
        <w:pStyle w:val="11"/>
        <w:numPr>
          <w:ilvl w:val="1"/>
          <w:numId w:val="6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配送人员上岗前应进行职业道德、文明礼貌、诚信服务培训，宜统一着装，配戴工号或胸牌。</w:t>
      </w:r>
    </w:p>
    <w:p w14:paraId="3EEFAF9C" w14:textId="77777777" w:rsidR="00E46DA7" w:rsidRDefault="00B067D2">
      <w:pPr>
        <w:pStyle w:val="11"/>
        <w:numPr>
          <w:ilvl w:val="1"/>
          <w:numId w:val="6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配送人员应能制定并严格执行符合绿色环保标准的配送计划。</w:t>
      </w:r>
    </w:p>
    <w:p w14:paraId="0C30CC51" w14:textId="77777777" w:rsidR="00E46DA7" w:rsidRDefault="00B067D2">
      <w:pPr>
        <w:pStyle w:val="11"/>
        <w:numPr>
          <w:ilvl w:val="0"/>
          <w:numId w:val="2"/>
        </w:numPr>
        <w:spacing w:beforeLines="100" w:before="312" w:afterLines="100" w:after="312" w:line="240" w:lineRule="auto"/>
        <w:ind w:firstLineChars="0"/>
        <w:jc w:val="both"/>
        <w:outlineLvl w:val="0"/>
        <w:rPr>
          <w:rFonts w:ascii="黑体" w:eastAsia="黑体" w:hAnsi="黑体" w:cs="黑体"/>
          <w:bCs/>
          <w:spacing w:val="-5"/>
        </w:rPr>
      </w:pPr>
      <w:bookmarkStart w:id="26" w:name="_Toc9838"/>
      <w:r>
        <w:rPr>
          <w:rFonts w:ascii="黑体" w:eastAsia="黑体" w:hAnsi="黑体" w:cs="黑体" w:hint="eastAsia"/>
          <w:bCs/>
          <w:spacing w:val="-5"/>
        </w:rPr>
        <w:t>绿色配送设备</w:t>
      </w:r>
      <w:bookmarkEnd w:id="26"/>
    </w:p>
    <w:p w14:paraId="471AEE55" w14:textId="77777777" w:rsidR="00E46DA7" w:rsidRDefault="00B067D2">
      <w:pPr>
        <w:pStyle w:val="11"/>
        <w:numPr>
          <w:ilvl w:val="1"/>
          <w:numId w:val="7"/>
        </w:numPr>
        <w:spacing w:beforeLines="50" w:before="156" w:afterLines="50" w:after="156" w:line="240" w:lineRule="auto"/>
        <w:ind w:firstLineChars="0"/>
        <w:outlineLvl w:val="2"/>
        <w:rPr>
          <w:rFonts w:ascii="黑体" w:eastAsia="黑体" w:hAnsi="黑体" w:cs="黑体"/>
          <w:spacing w:val="-5"/>
        </w:rPr>
      </w:pPr>
      <w:r>
        <w:rPr>
          <w:rFonts w:ascii="黑体" w:eastAsia="黑体" w:hAnsi="黑体" w:cs="黑体" w:hint="eastAsia"/>
          <w:spacing w:val="-5"/>
        </w:rPr>
        <w:t>运输设备</w:t>
      </w:r>
    </w:p>
    <w:p w14:paraId="6F36017A" w14:textId="77777777" w:rsidR="00E46DA7" w:rsidRDefault="00B067D2">
      <w:pPr>
        <w:pStyle w:val="11"/>
        <w:numPr>
          <w:ilvl w:val="2"/>
          <w:numId w:val="8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5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配送车辆尾气排放应符合</w:t>
      </w:r>
      <w:r>
        <w:rPr>
          <w:rFonts w:ascii="Arial" w:hAnsi="Arial" w:cs="Arial" w:hint="eastAsia"/>
          <w:szCs w:val="21"/>
          <w:shd w:val="clear" w:color="auto" w:fill="FFFFFF"/>
        </w:rPr>
        <w:t>GB 17691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>
        <w:rPr>
          <w:rFonts w:ascii="Arial" w:hAnsi="Arial" w:cs="Arial" w:hint="eastAsia"/>
          <w:szCs w:val="21"/>
          <w:shd w:val="clear" w:color="auto" w:fill="FFFFFF"/>
        </w:rPr>
        <w:t>GB 18352.6</w:t>
      </w:r>
      <w:r>
        <w:rPr>
          <w:rFonts w:ascii="Arial" w:hAnsi="Arial" w:cs="Arial" w:hint="eastAsia"/>
          <w:szCs w:val="21"/>
          <w:shd w:val="clear" w:color="auto" w:fill="FFFFFF"/>
        </w:rPr>
        <w:t>的要求。</w:t>
      </w:r>
    </w:p>
    <w:p w14:paraId="05E393EB" w14:textId="77777777" w:rsidR="00E46DA7" w:rsidRDefault="00B067D2">
      <w:pPr>
        <w:pStyle w:val="11"/>
        <w:numPr>
          <w:ilvl w:val="2"/>
          <w:numId w:val="8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5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配送车辆应以厢式货车，封闭式货车为主。安全参数、质量、性能等应符合</w:t>
      </w:r>
      <w:r>
        <w:rPr>
          <w:rFonts w:ascii="Arial" w:hAnsi="Arial" w:cs="Arial" w:hint="eastAsia"/>
          <w:szCs w:val="21"/>
          <w:shd w:val="clear" w:color="auto" w:fill="FFFFFF"/>
        </w:rPr>
        <w:t>GB 7257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>
        <w:rPr>
          <w:rFonts w:ascii="Arial" w:hAnsi="Arial" w:cs="Arial" w:hint="eastAsia"/>
          <w:szCs w:val="21"/>
          <w:shd w:val="clear" w:color="auto" w:fill="FFFFFF"/>
        </w:rPr>
        <w:t>GB/T 29912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>
        <w:rPr>
          <w:rFonts w:ascii="Arial" w:hAnsi="Arial" w:cs="Arial" w:hint="eastAsia"/>
          <w:szCs w:val="21"/>
          <w:shd w:val="clear" w:color="auto" w:fill="FFFFFF"/>
        </w:rPr>
        <w:t>GB 1589</w:t>
      </w:r>
      <w:r>
        <w:rPr>
          <w:rFonts w:ascii="Arial" w:hAnsi="Arial" w:cs="Arial" w:hint="eastAsia"/>
          <w:szCs w:val="21"/>
          <w:shd w:val="clear" w:color="auto" w:fill="FFFFFF"/>
        </w:rPr>
        <w:t>、</w:t>
      </w:r>
      <w:r>
        <w:rPr>
          <w:rFonts w:ascii="Arial" w:hAnsi="Arial" w:cs="Arial" w:hint="eastAsia"/>
          <w:szCs w:val="21"/>
          <w:shd w:val="clear" w:color="auto" w:fill="FFFFFF"/>
        </w:rPr>
        <w:t xml:space="preserve">GB/T </w:t>
      </w:r>
      <w:r>
        <w:rPr>
          <w:rFonts w:ascii="Arial" w:hAnsi="Arial" w:cs="Arial" w:hint="eastAsia"/>
          <w:szCs w:val="21"/>
          <w:shd w:val="clear" w:color="auto" w:fill="FFFFFF"/>
        </w:rPr>
        <w:t>18386.1</w:t>
      </w:r>
      <w:r>
        <w:rPr>
          <w:rFonts w:ascii="Arial" w:hAnsi="Arial" w:cs="Arial" w:hint="eastAsia"/>
          <w:szCs w:val="21"/>
          <w:shd w:val="clear" w:color="auto" w:fill="FFFFFF"/>
        </w:rPr>
        <w:t>的要求。</w:t>
      </w:r>
    </w:p>
    <w:p w14:paraId="06AE55BF" w14:textId="77777777" w:rsidR="00E46DA7" w:rsidRDefault="00B067D2">
      <w:pPr>
        <w:pStyle w:val="11"/>
        <w:numPr>
          <w:ilvl w:val="2"/>
          <w:numId w:val="8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5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保温车、冷藏车技术要求应符合</w:t>
      </w:r>
      <w:r>
        <w:rPr>
          <w:rFonts w:ascii="Arial" w:hAnsi="Arial" w:cs="Arial" w:hint="eastAsia"/>
          <w:szCs w:val="21"/>
          <w:shd w:val="clear" w:color="auto" w:fill="FFFFFF"/>
        </w:rPr>
        <w:t>QC/T 449</w:t>
      </w:r>
      <w:r>
        <w:rPr>
          <w:rFonts w:ascii="Arial" w:hAnsi="Arial" w:cs="Arial" w:hint="eastAsia"/>
          <w:szCs w:val="21"/>
          <w:shd w:val="clear" w:color="auto" w:fill="FFFFFF"/>
        </w:rPr>
        <w:t>的规定。保温车、冷藏车应安装温度监控系统</w:t>
      </w:r>
      <w:r>
        <w:rPr>
          <w:rFonts w:ascii="宋体" w:eastAsia="宋体" w:hAnsi="宋体" w:cs="宋体"/>
          <w:spacing w:val="-5"/>
          <w:position w:val="3"/>
        </w:rPr>
        <w:t>。</w:t>
      </w:r>
    </w:p>
    <w:p w14:paraId="691C3CC7" w14:textId="77777777" w:rsidR="00E46DA7" w:rsidRDefault="00B067D2">
      <w:pPr>
        <w:pStyle w:val="11"/>
        <w:numPr>
          <w:ilvl w:val="2"/>
          <w:numId w:val="8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5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配送车辆应装备符合</w:t>
      </w:r>
      <w:r>
        <w:rPr>
          <w:rFonts w:ascii="Arial" w:hAnsi="Arial" w:cs="Arial" w:hint="eastAsia"/>
          <w:szCs w:val="21"/>
          <w:shd w:val="clear" w:color="auto" w:fill="FFFFFF"/>
        </w:rPr>
        <w:t>JT/T 794</w:t>
      </w:r>
      <w:r>
        <w:rPr>
          <w:rFonts w:ascii="Arial" w:hAnsi="Arial" w:cs="Arial" w:hint="eastAsia"/>
          <w:szCs w:val="21"/>
          <w:shd w:val="clear" w:color="auto" w:fill="FFFFFF"/>
        </w:rPr>
        <w:t>规定的卫星定位车载终端，外观整洁，具有统一配送标志标示</w:t>
      </w:r>
      <w:r>
        <w:rPr>
          <w:rFonts w:ascii="宋体" w:eastAsia="宋体" w:hAnsi="宋体" w:cs="宋体"/>
          <w:spacing w:val="-5"/>
          <w:position w:val="3"/>
        </w:rPr>
        <w:t>。</w:t>
      </w:r>
    </w:p>
    <w:p w14:paraId="7B548790" w14:textId="77777777" w:rsidR="00E46DA7" w:rsidRDefault="00B067D2">
      <w:pPr>
        <w:pStyle w:val="11"/>
        <w:numPr>
          <w:ilvl w:val="2"/>
          <w:numId w:val="8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5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配送车辆在城区行驶时，车外噪音应符合</w:t>
      </w:r>
      <w:r>
        <w:rPr>
          <w:rFonts w:ascii="Arial" w:hAnsi="Arial" w:cs="Arial" w:hint="eastAsia"/>
          <w:szCs w:val="21"/>
          <w:shd w:val="clear" w:color="auto" w:fill="FFFFFF"/>
        </w:rPr>
        <w:t>GB 1495</w:t>
      </w:r>
      <w:r>
        <w:rPr>
          <w:rFonts w:ascii="Arial" w:hAnsi="Arial" w:cs="Arial" w:hint="eastAsia"/>
          <w:szCs w:val="21"/>
          <w:shd w:val="clear" w:color="auto" w:fill="FFFFFF"/>
        </w:rPr>
        <w:t>的规定。</w:t>
      </w:r>
    </w:p>
    <w:p w14:paraId="74E1A761" w14:textId="77777777" w:rsidR="00E46DA7" w:rsidRDefault="00B067D2">
      <w:pPr>
        <w:pStyle w:val="11"/>
        <w:numPr>
          <w:ilvl w:val="2"/>
          <w:numId w:val="8"/>
        </w:numPr>
        <w:spacing w:after="0" w:line="240" w:lineRule="auto"/>
        <w:ind w:firstLineChars="0"/>
        <w:outlineLvl w:val="3"/>
        <w:rPr>
          <w:rFonts w:ascii="宋体" w:eastAsia="宋体" w:hAnsi="宋体" w:cs="宋体"/>
          <w:spacing w:val="-5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宜配置新能源、清洁能源车辆，并合理配置</w:t>
      </w:r>
      <w:proofErr w:type="gramStart"/>
      <w:r>
        <w:rPr>
          <w:rFonts w:ascii="Arial" w:hAnsi="Arial" w:cs="Arial" w:hint="eastAsia"/>
          <w:szCs w:val="21"/>
          <w:shd w:val="clear" w:color="auto" w:fill="FFFFFF"/>
        </w:rPr>
        <w:t>充换电</w:t>
      </w:r>
      <w:proofErr w:type="gramEnd"/>
      <w:r>
        <w:rPr>
          <w:rFonts w:ascii="Arial" w:hAnsi="Arial" w:cs="Arial" w:hint="eastAsia"/>
          <w:szCs w:val="21"/>
          <w:shd w:val="clear" w:color="auto" w:fill="FFFFFF"/>
        </w:rPr>
        <w:t>设施。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新能源车的占比不小于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30%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。营运车辆单位运输周转量二氧化碳排放年下降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1%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。</w:t>
      </w:r>
    </w:p>
    <w:p w14:paraId="0FDF2F0D" w14:textId="77777777" w:rsidR="00E46DA7" w:rsidRDefault="00B067D2">
      <w:pPr>
        <w:pStyle w:val="11"/>
        <w:numPr>
          <w:ilvl w:val="1"/>
          <w:numId w:val="7"/>
        </w:numPr>
        <w:spacing w:beforeLines="50" w:before="156" w:afterLines="50" w:after="156" w:line="240" w:lineRule="auto"/>
        <w:ind w:firstLineChars="0"/>
        <w:outlineLvl w:val="2"/>
        <w:rPr>
          <w:rFonts w:ascii="Times New Roman" w:hAnsi="Times New Roman" w:cs="Times New Roman"/>
          <w:spacing w:val="-2"/>
        </w:rPr>
      </w:pPr>
      <w:r>
        <w:rPr>
          <w:rFonts w:ascii="黑体" w:eastAsia="黑体" w:hAnsi="黑体" w:cs="黑体" w:hint="eastAsia"/>
          <w:spacing w:val="-5"/>
        </w:rPr>
        <w:t>其他相关设备</w:t>
      </w:r>
    </w:p>
    <w:p w14:paraId="001CAE1D" w14:textId="77777777" w:rsidR="00E46DA7" w:rsidRDefault="00B067D2">
      <w:pPr>
        <w:pStyle w:val="11"/>
        <w:numPr>
          <w:ilvl w:val="2"/>
          <w:numId w:val="9"/>
        </w:numPr>
        <w:spacing w:after="0" w:line="240" w:lineRule="auto"/>
        <w:ind w:firstLineChars="0"/>
        <w:rPr>
          <w:rFonts w:ascii="黑体" w:eastAsia="黑体" w:hAnsi="黑体" w:cs="宋体"/>
          <w:color w:val="FF0000"/>
          <w:spacing w:val="-5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应采用与标准托盘配套的搬运设备。</w:t>
      </w:r>
      <w:r>
        <w:rPr>
          <w:rFonts w:ascii="Arial" w:hAnsi="Arial" w:cs="Arial" w:hint="eastAsia"/>
          <w:color w:val="FF0000"/>
          <w:szCs w:val="21"/>
          <w:shd w:val="clear" w:color="auto" w:fill="FFFFFF"/>
        </w:rPr>
        <w:t>搬运设备宜</w:t>
      </w:r>
      <w:proofErr w:type="gramStart"/>
      <w:r>
        <w:rPr>
          <w:rFonts w:ascii="Arial" w:hAnsi="Arial" w:cs="Arial" w:hint="eastAsia"/>
          <w:color w:val="FF0000"/>
          <w:szCs w:val="21"/>
          <w:shd w:val="clear" w:color="auto" w:fill="FFFFFF"/>
        </w:rPr>
        <w:t>采用占</w:t>
      </w:r>
      <w:proofErr w:type="gramEnd"/>
      <w:r>
        <w:rPr>
          <w:rFonts w:ascii="Arial" w:hAnsi="Arial" w:cs="Arial" w:hint="eastAsia"/>
          <w:color w:val="FF0000"/>
          <w:szCs w:val="21"/>
          <w:shd w:val="clear" w:color="auto" w:fill="FFFFFF"/>
        </w:rPr>
        <w:t>比应达到</w:t>
      </w:r>
      <w:r>
        <w:rPr>
          <w:rFonts w:ascii="Arial" w:hAnsi="Arial" w:cs="Arial" w:hint="eastAsia"/>
          <w:color w:val="FF0000"/>
          <w:szCs w:val="21"/>
          <w:shd w:val="clear" w:color="auto" w:fill="FFFFFF"/>
        </w:rPr>
        <w:t>50%</w:t>
      </w:r>
      <w:r>
        <w:rPr>
          <w:rFonts w:ascii="Arial" w:hAnsi="Arial" w:cs="Arial" w:hint="eastAsia"/>
          <w:color w:val="FF0000"/>
          <w:szCs w:val="21"/>
          <w:shd w:val="clear" w:color="auto" w:fill="FFFFFF"/>
        </w:rPr>
        <w:t>以上的电动、气体燃料等新能源或清洁能源，新能源或清洁能源。</w:t>
      </w:r>
    </w:p>
    <w:p w14:paraId="67503E56" w14:textId="77777777" w:rsidR="00E46DA7" w:rsidRDefault="00B067D2">
      <w:pPr>
        <w:pStyle w:val="11"/>
        <w:numPr>
          <w:ilvl w:val="2"/>
          <w:numId w:val="9"/>
        </w:numPr>
        <w:spacing w:after="0" w:line="240" w:lineRule="auto"/>
        <w:ind w:firstLineChars="0"/>
        <w:rPr>
          <w:rFonts w:ascii="黑体" w:eastAsia="黑体" w:hAnsi="黑体" w:cs="宋体"/>
          <w:spacing w:val="-5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应采用具有互换性、可循环使用的标准化单元器具进行配送</w:t>
      </w:r>
      <w:r>
        <w:rPr>
          <w:rFonts w:ascii="Arial" w:hAnsi="Arial" w:cs="Arial" w:hint="eastAsia"/>
          <w:szCs w:val="21"/>
          <w:shd w:val="clear" w:color="auto" w:fill="FFFFFF"/>
        </w:rPr>
        <w:t>(</w:t>
      </w:r>
      <w:r>
        <w:rPr>
          <w:rFonts w:ascii="Arial" w:hAnsi="Arial" w:cs="Arial" w:hint="eastAsia"/>
          <w:szCs w:val="21"/>
          <w:shd w:val="clear" w:color="auto" w:fill="FFFFFF"/>
        </w:rPr>
        <w:t>优先选用</w:t>
      </w:r>
      <w:r>
        <w:rPr>
          <w:rFonts w:ascii="Arial" w:hAnsi="Arial" w:cs="Arial" w:hint="eastAsia"/>
          <w:szCs w:val="21"/>
          <w:shd w:val="clear" w:color="auto" w:fill="FFFFFF"/>
        </w:rPr>
        <w:t>1200*1000</w:t>
      </w:r>
      <w:r>
        <w:rPr>
          <w:rFonts w:ascii="Arial" w:hAnsi="Arial" w:cs="Arial" w:hint="eastAsia"/>
          <w:szCs w:val="21"/>
          <w:shd w:val="clear" w:color="auto" w:fill="FFFFFF"/>
        </w:rPr>
        <w:t>标准化托盘和</w:t>
      </w:r>
      <w:r>
        <w:rPr>
          <w:rFonts w:ascii="Arial" w:hAnsi="Arial" w:cs="Arial" w:hint="eastAsia"/>
          <w:szCs w:val="21"/>
          <w:shd w:val="clear" w:color="auto" w:fill="FFFFFF"/>
        </w:rPr>
        <w:t>600*400</w:t>
      </w:r>
      <w:r>
        <w:rPr>
          <w:rFonts w:ascii="Arial" w:hAnsi="Arial" w:cs="Arial" w:hint="eastAsia"/>
          <w:szCs w:val="21"/>
          <w:shd w:val="clear" w:color="auto" w:fill="FFFFFF"/>
        </w:rPr>
        <w:t>标准化周转箱），并与客户和承运商合作实现单元化包装的循环利用。标准化托盘循环共用使用占比</w:t>
      </w:r>
      <w:r>
        <w:rPr>
          <w:rFonts w:ascii="Arial" w:hAnsi="Arial" w:cs="Arial" w:hint="eastAsia"/>
          <w:color w:val="FF0000"/>
          <w:szCs w:val="21"/>
          <w:shd w:val="clear" w:color="auto" w:fill="FFFFFF"/>
        </w:rPr>
        <w:t>应达到</w:t>
      </w:r>
      <w:r>
        <w:rPr>
          <w:rFonts w:ascii="Arial" w:hAnsi="Arial" w:cs="Arial" w:hint="eastAsia"/>
          <w:szCs w:val="21"/>
          <w:shd w:val="clear" w:color="auto" w:fill="FFFFFF"/>
        </w:rPr>
        <w:t>35%</w:t>
      </w:r>
      <w:r>
        <w:rPr>
          <w:rFonts w:ascii="Arial" w:hAnsi="Arial" w:cs="Arial" w:hint="eastAsia"/>
          <w:szCs w:val="21"/>
          <w:shd w:val="clear" w:color="auto" w:fill="FFFFFF"/>
        </w:rPr>
        <w:t>以上。标准化周转箱占比</w:t>
      </w:r>
      <w:r>
        <w:rPr>
          <w:rFonts w:ascii="Arial" w:hAnsi="Arial" w:cs="Arial" w:hint="eastAsia"/>
          <w:color w:val="FF0000"/>
          <w:szCs w:val="21"/>
          <w:shd w:val="clear" w:color="auto" w:fill="FFFFFF"/>
        </w:rPr>
        <w:t>应</w:t>
      </w:r>
      <w:r>
        <w:rPr>
          <w:rFonts w:ascii="Arial" w:hAnsi="Arial" w:cs="Arial" w:hint="eastAsia"/>
          <w:szCs w:val="21"/>
          <w:shd w:val="clear" w:color="auto" w:fill="FFFFFF"/>
        </w:rPr>
        <w:t>达到</w:t>
      </w:r>
      <w:r>
        <w:rPr>
          <w:rFonts w:ascii="Arial" w:hAnsi="Arial" w:cs="Arial" w:hint="eastAsia"/>
          <w:szCs w:val="21"/>
          <w:shd w:val="clear" w:color="auto" w:fill="FFFFFF"/>
        </w:rPr>
        <w:t>35%</w:t>
      </w:r>
      <w:r>
        <w:rPr>
          <w:rFonts w:ascii="Arial" w:hAnsi="Arial" w:cs="Arial" w:hint="eastAsia"/>
          <w:szCs w:val="21"/>
          <w:shd w:val="clear" w:color="auto" w:fill="FFFFFF"/>
        </w:rPr>
        <w:t>以上。</w:t>
      </w:r>
    </w:p>
    <w:p w14:paraId="0C74651B" w14:textId="77777777" w:rsidR="00E46DA7" w:rsidRDefault="00B067D2">
      <w:pPr>
        <w:pStyle w:val="11"/>
        <w:numPr>
          <w:ilvl w:val="2"/>
          <w:numId w:val="9"/>
        </w:numPr>
        <w:spacing w:after="0" w:line="240" w:lineRule="auto"/>
        <w:ind w:firstLineChars="0"/>
        <w:rPr>
          <w:rFonts w:ascii="黑体" w:eastAsia="黑体" w:hAnsi="黑体" w:cs="宋体"/>
          <w:spacing w:val="-5"/>
          <w:position w:val="3"/>
        </w:rPr>
      </w:pPr>
      <w:r>
        <w:rPr>
          <w:rFonts w:ascii="Arial" w:hAnsi="Arial" w:cs="Arial" w:hint="eastAsia"/>
          <w:szCs w:val="21"/>
          <w:shd w:val="clear" w:color="auto" w:fill="FFFFFF"/>
        </w:rPr>
        <w:t>应使用低能耗包装机械设备，如打包机封口机等。</w:t>
      </w:r>
    </w:p>
    <w:p w14:paraId="685761F9" w14:textId="77777777" w:rsidR="00E46DA7" w:rsidRDefault="00B067D2">
      <w:pPr>
        <w:pStyle w:val="11"/>
        <w:numPr>
          <w:ilvl w:val="2"/>
          <w:numId w:val="9"/>
        </w:numPr>
        <w:spacing w:after="0" w:line="240" w:lineRule="auto"/>
        <w:ind w:firstLineChars="0"/>
        <w:rPr>
          <w:rFonts w:ascii="宋体" w:eastAsia="宋体" w:hAnsi="宋体"/>
        </w:rPr>
      </w:pPr>
      <w:r>
        <w:rPr>
          <w:rFonts w:ascii="Arial" w:hAnsi="Arial" w:cs="Arial" w:hint="eastAsia"/>
          <w:szCs w:val="21"/>
          <w:shd w:val="clear" w:color="auto" w:fill="FFFFFF"/>
        </w:rPr>
        <w:t>充分运用单元化、信息化和自动化物流技术、减少装卸过程的重复作业，减少对仓库站台资源的占用，并通过合理规划站台，采用合理的装卸工具，如</w:t>
      </w:r>
      <w:r>
        <w:rPr>
          <w:rFonts w:ascii="Arial" w:hAnsi="Arial" w:cs="Arial" w:hint="eastAsia"/>
          <w:color w:val="FF0000"/>
          <w:szCs w:val="21"/>
          <w:shd w:val="clear" w:color="auto" w:fill="FFFFFF"/>
        </w:rPr>
        <w:t>采用</w:t>
      </w:r>
      <w:r>
        <w:rPr>
          <w:rFonts w:ascii="Arial" w:hAnsi="Arial" w:cs="Arial" w:hint="eastAsia"/>
          <w:szCs w:val="21"/>
          <w:shd w:val="clear" w:color="auto" w:fill="FFFFFF"/>
        </w:rPr>
        <w:t>输送带、带调节平台的装卸站台、自动装车技术及货运车辆配有装卸尾板等，提高装卸效率，降低能耗，减少环境污染。</w:t>
      </w:r>
    </w:p>
    <w:p w14:paraId="7B566AE4" w14:textId="77777777" w:rsidR="00E46DA7" w:rsidRDefault="00B067D2">
      <w:pPr>
        <w:pStyle w:val="11"/>
        <w:numPr>
          <w:ilvl w:val="0"/>
          <w:numId w:val="2"/>
        </w:numPr>
        <w:spacing w:beforeLines="100" w:before="312" w:afterLines="100" w:after="312" w:line="240" w:lineRule="auto"/>
        <w:ind w:firstLineChars="0"/>
        <w:jc w:val="both"/>
        <w:outlineLvl w:val="0"/>
        <w:rPr>
          <w:rFonts w:ascii="黑体" w:eastAsia="黑体" w:hAnsi="黑体" w:cs="黑体"/>
          <w:bCs/>
          <w:spacing w:val="-5"/>
        </w:rPr>
      </w:pPr>
      <w:bookmarkStart w:id="27" w:name="_Toc22229"/>
      <w:r>
        <w:rPr>
          <w:rFonts w:ascii="黑体" w:eastAsia="黑体" w:hAnsi="黑体" w:cs="黑体" w:hint="eastAsia"/>
          <w:bCs/>
          <w:spacing w:val="-5"/>
        </w:rPr>
        <w:t>绿色配送作业</w:t>
      </w:r>
      <w:bookmarkEnd w:id="27"/>
    </w:p>
    <w:p w14:paraId="3D4F9A13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建立并完善配送服务质量管理体系。</w:t>
      </w:r>
    </w:p>
    <w:p w14:paraId="31D69E73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制定内容涵盖配送组织、服务流程、车辆选用、路线优化、车辆通行</w:t>
      </w:r>
      <w:r>
        <w:rPr>
          <w:rFonts w:ascii="Arial" w:hAnsi="Arial" w:cs="Arial" w:hint="eastAsia"/>
          <w:color w:val="1F497D" w:themeColor="text2"/>
          <w:szCs w:val="21"/>
          <w:shd w:val="clear" w:color="auto" w:fill="FFFFFF"/>
        </w:rPr>
        <w:t>与</w:t>
      </w:r>
      <w:r>
        <w:rPr>
          <w:rFonts w:ascii="Arial" w:hAnsi="Arial" w:cs="Arial" w:hint="eastAsia"/>
          <w:szCs w:val="21"/>
          <w:shd w:val="clear" w:color="auto" w:fill="FFFFFF"/>
        </w:rPr>
        <w:t>停放等管理制度或标准。</w:t>
      </w:r>
    </w:p>
    <w:p w14:paraId="11896990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宜采用共同配送、集中配送、统一配送、分时配送、夜间配送等集约化配送模式进行配送。</w:t>
      </w:r>
    </w:p>
    <w:p w14:paraId="5FA36D3C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根据商品的发运线路进行集货作业，采用合理的运输方式，</w:t>
      </w:r>
      <w:r>
        <w:rPr>
          <w:rFonts w:ascii="Arial" w:hAnsi="Arial" w:cs="Arial" w:hint="eastAsia"/>
          <w:szCs w:val="21"/>
          <w:shd w:val="clear" w:color="auto" w:fill="FFFFFF"/>
        </w:rPr>
        <w:t>缩短总体运输线路，减少装卸搬运次数，提高车辆的装载率，减少空驶率。并在运输车辆到达前完成组配待发。</w:t>
      </w:r>
    </w:p>
    <w:p w14:paraId="1BA29248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根据客户需求和自身资源对配送作业进行优化设计，按照闭环原则，对配送线路、配送方式、配送顺序等进行优化设计，合理安排配送车辆和配送人员。</w:t>
      </w:r>
    </w:p>
    <w:p w14:paraId="46D294D2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应对运输过程中的配送车辆进行跟踪和实时监督，发现异常及时处理。</w:t>
      </w:r>
    </w:p>
    <w:p w14:paraId="17A40CC4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应使用信息管理系统，制定各类配送计划（取货、拣货、装车、运输和返程回收等）并执行。</w:t>
      </w:r>
    </w:p>
    <w:p w14:paraId="0B8A71D4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对配送所使用的包装宜采用可循环利用环保材料，减少物流过程中的二次包装，推动货物包装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lastRenderedPageBreak/>
        <w:t>和物流器具绿色化、减量化、可循环和</w:t>
      </w:r>
      <w:proofErr w:type="gramStart"/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可</w:t>
      </w:r>
      <w:proofErr w:type="gramEnd"/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降解。包装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物回收和处理执行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GB/T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16716.1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包装与环境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 xml:space="preserve"> 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第一部分：通则和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GB 18455</w:t>
      </w:r>
      <w:r>
        <w:rPr>
          <w:rFonts w:ascii="Arial" w:hAnsi="Arial" w:cs="Arial" w:hint="eastAsia"/>
          <w:kern w:val="0"/>
          <w:szCs w:val="21"/>
          <w:shd w:val="clear" w:color="auto" w:fill="FFFFFF"/>
          <w:lang w:bidi="ar"/>
        </w:rPr>
        <w:t>。</w:t>
      </w:r>
    </w:p>
    <w:p w14:paraId="593D9573" w14:textId="77777777" w:rsidR="00E46DA7" w:rsidRDefault="00B067D2">
      <w:pPr>
        <w:pStyle w:val="11"/>
        <w:numPr>
          <w:ilvl w:val="0"/>
          <w:numId w:val="10"/>
        </w:numPr>
        <w:spacing w:beforeLines="100" w:before="312" w:afterLines="100" w:after="312" w:line="240" w:lineRule="auto"/>
        <w:ind w:left="510" w:firstLineChars="0" w:hanging="510"/>
        <w:outlineLvl w:val="0"/>
        <w:rPr>
          <w:rFonts w:ascii="黑体" w:eastAsia="黑体" w:hAnsi="黑体" w:cs="黑体"/>
          <w:szCs w:val="21"/>
        </w:rPr>
      </w:pPr>
      <w:bookmarkStart w:id="28" w:name="_Toc15934"/>
      <w:r>
        <w:rPr>
          <w:rFonts w:ascii="黑体" w:eastAsia="黑体" w:hAnsi="黑体" w:cs="黑体" w:hint="eastAsia"/>
          <w:szCs w:val="21"/>
          <w:shd w:val="clear" w:color="auto" w:fill="FFFFFF"/>
        </w:rPr>
        <w:t>绿色配送信息管理系统</w:t>
      </w:r>
      <w:bookmarkEnd w:id="28"/>
    </w:p>
    <w:p w14:paraId="2A9B48E7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宜采用统一的编码标识（</w:t>
      </w:r>
      <w:r>
        <w:rPr>
          <w:rFonts w:ascii="Arial" w:hAnsi="Arial" w:cs="Arial" w:hint="eastAsia"/>
          <w:szCs w:val="21"/>
          <w:shd w:val="clear" w:color="auto" w:fill="FFFFFF"/>
        </w:rPr>
        <w:t>GSI</w:t>
      </w:r>
      <w:r>
        <w:rPr>
          <w:rFonts w:ascii="Arial" w:hAnsi="Arial" w:cs="Arial" w:hint="eastAsia"/>
          <w:szCs w:val="21"/>
          <w:shd w:val="clear" w:color="auto" w:fill="FFFFFF"/>
        </w:rPr>
        <w:t>），拓展标准托盘、周转箱（筐）信息承载功能，使托盘条码与商品条码、箱码、物流单元码关联衔接。</w:t>
      </w:r>
    </w:p>
    <w:p w14:paraId="22487D84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在配送过程中应采用自动识别设备自动完成货物信息的采集。</w:t>
      </w:r>
    </w:p>
    <w:p w14:paraId="52040240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  <w:rPr>
          <w:color w:val="4F81BD" w:themeColor="accent1"/>
        </w:rPr>
      </w:pPr>
      <w:r>
        <w:rPr>
          <w:rFonts w:ascii="Arial" w:hAnsi="Arial" w:cs="Arial" w:hint="eastAsia"/>
          <w:color w:val="4F81BD" w:themeColor="accent1"/>
          <w:szCs w:val="21"/>
          <w:shd w:val="clear" w:color="auto" w:fill="FFFFFF"/>
        </w:rPr>
        <w:t>应统一规范和设计单据、凭证、报表，实现部门间和上下游企业信息的共享。</w:t>
      </w:r>
    </w:p>
    <w:p w14:paraId="7ED72E28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应利用智能配送系统对配送线路、配送方式、配送顺序等进行优化，提高配送的质量和效率。</w:t>
      </w:r>
    </w:p>
    <w:p w14:paraId="2012BDBA" w14:textId="77777777" w:rsidR="00E46DA7" w:rsidRDefault="00B067D2">
      <w:pPr>
        <w:pStyle w:val="11"/>
        <w:numPr>
          <w:ilvl w:val="1"/>
          <w:numId w:val="10"/>
        </w:numPr>
        <w:spacing w:after="0" w:line="240" w:lineRule="auto"/>
        <w:ind w:firstLineChars="0"/>
        <w:outlineLvl w:val="2"/>
      </w:pPr>
      <w:r>
        <w:rPr>
          <w:rFonts w:ascii="Arial" w:hAnsi="Arial" w:cs="Arial" w:hint="eastAsia"/>
          <w:szCs w:val="21"/>
          <w:shd w:val="clear" w:color="auto" w:fill="FFFFFF"/>
        </w:rPr>
        <w:t>宜与相关方实现配送管理信息系统对接。提供实时数据查询、货物和温度追踪、投诉处理等服务。</w:t>
      </w:r>
    </w:p>
    <w:p w14:paraId="0A055287" w14:textId="77777777" w:rsidR="00E46DA7" w:rsidRDefault="00B067D2">
      <w:pPr>
        <w:pStyle w:val="aff"/>
        <w:framePr w:wrap="around"/>
      </w:pPr>
      <w:r>
        <w:t>_________________________________</w:t>
      </w:r>
    </w:p>
    <w:p w14:paraId="093BC33D" w14:textId="77777777" w:rsidR="00E46DA7" w:rsidRDefault="00E46DA7">
      <w:pPr>
        <w:spacing w:after="0" w:line="240" w:lineRule="exact"/>
        <w:ind w:left="142"/>
      </w:pPr>
    </w:p>
    <w:p w14:paraId="54BDA57E" w14:textId="77777777" w:rsidR="00E46DA7" w:rsidRDefault="00E46DA7">
      <w:pPr>
        <w:spacing w:after="0" w:line="240" w:lineRule="exact"/>
        <w:ind w:left="142"/>
      </w:pPr>
    </w:p>
    <w:p w14:paraId="0A82C4AB" w14:textId="77777777" w:rsidR="00E46DA7" w:rsidRDefault="00E46DA7">
      <w:pPr>
        <w:spacing w:after="0" w:line="240" w:lineRule="exact"/>
        <w:ind w:left="142"/>
      </w:pPr>
    </w:p>
    <w:p w14:paraId="55BF8B31" w14:textId="77777777" w:rsidR="00E46DA7" w:rsidRDefault="00E46DA7">
      <w:pPr>
        <w:spacing w:after="0" w:line="240" w:lineRule="exact"/>
        <w:ind w:left="142"/>
      </w:pPr>
    </w:p>
    <w:p w14:paraId="304BC40C" w14:textId="77777777" w:rsidR="00E46DA7" w:rsidRDefault="00E46DA7">
      <w:pPr>
        <w:spacing w:after="0" w:line="240" w:lineRule="exact"/>
        <w:ind w:left="142"/>
      </w:pPr>
    </w:p>
    <w:p w14:paraId="65ACD3C1" w14:textId="77777777" w:rsidR="00E46DA7" w:rsidRDefault="00B067D2">
      <w:pPr>
        <w:spacing w:after="0" w:line="468" w:lineRule="exact"/>
      </w:pPr>
      <w:bookmarkStart w:id="29" w:name="1"/>
      <w:bookmarkEnd w:id="29"/>
      <w:r>
        <w:pict w14:anchorId="03F62319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499.8pt;margin-top:763.5pt;width:25.25pt;height:16.6pt;z-index:-251657216;mso-position-horizontal-relative:page;mso-position-vertical-relative:page;mso-width-relative:page;mso-height-relative:page" filled="f" stroked="f">
            <v:textbox inset="0,0,0,0">
              <w:txbxContent>
                <w:p w14:paraId="7E364A52" w14:textId="77777777" w:rsidR="00E46DA7" w:rsidRDefault="00E46DA7"/>
              </w:txbxContent>
            </v:textbox>
            <w10:wrap anchorx="page" anchory="page"/>
          </v:shape>
        </w:pict>
      </w:r>
      <w:bookmarkStart w:id="30" w:name="9"/>
      <w:bookmarkStart w:id="31" w:name="8"/>
      <w:bookmarkEnd w:id="30"/>
      <w:bookmarkEnd w:id="31"/>
    </w:p>
    <w:sectPr w:rsidR="00E46DA7">
      <w:headerReference w:type="default" r:id="rId19"/>
      <w:pgSz w:w="11906" w:h="16839"/>
      <w:pgMar w:top="1273" w:right="1274" w:bottom="1033" w:left="1634" w:header="1417" w:footer="1134" w:gutter="0"/>
      <w:pgNumType w:start="1"/>
      <w:cols w:space="720" w:equalWidth="0">
        <w:col w:w="8998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992B" w14:textId="77777777" w:rsidR="00B067D2" w:rsidRDefault="00B067D2">
      <w:pPr>
        <w:spacing w:after="0" w:line="240" w:lineRule="auto"/>
      </w:pPr>
      <w:r>
        <w:separator/>
      </w:r>
    </w:p>
  </w:endnote>
  <w:endnote w:type="continuationSeparator" w:id="0">
    <w:p w14:paraId="64AC6A6C" w14:textId="77777777" w:rsidR="00B067D2" w:rsidRDefault="00B0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F1E0" w14:textId="77777777" w:rsidR="00E46DA7" w:rsidRDefault="00E46D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65C9" w14:textId="77777777" w:rsidR="00E46DA7" w:rsidRDefault="00E46D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3EB8" w14:textId="77777777" w:rsidR="00E46DA7" w:rsidRDefault="00E46DA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5530"/>
    </w:sdtPr>
    <w:sdtEndPr/>
    <w:sdtContent>
      <w:p w14:paraId="37FE14C3" w14:textId="77777777" w:rsidR="00E46DA7" w:rsidRDefault="00B067D2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296F4BF7" w14:textId="77777777" w:rsidR="00E46DA7" w:rsidRDefault="00E46DA7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5531"/>
    </w:sdtPr>
    <w:sdtEndPr/>
    <w:sdtContent>
      <w:p w14:paraId="09BAEB21" w14:textId="77777777" w:rsidR="00E46DA7" w:rsidRDefault="00B067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62DB1000" w14:textId="77777777" w:rsidR="00E46DA7" w:rsidRDefault="00E46D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45A7" w14:textId="77777777" w:rsidR="00B067D2" w:rsidRDefault="00B067D2">
      <w:pPr>
        <w:spacing w:after="0" w:line="240" w:lineRule="auto"/>
      </w:pPr>
      <w:r>
        <w:separator/>
      </w:r>
    </w:p>
  </w:footnote>
  <w:footnote w:type="continuationSeparator" w:id="0">
    <w:p w14:paraId="7F783625" w14:textId="77777777" w:rsidR="00B067D2" w:rsidRDefault="00B0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081D" w14:textId="77777777" w:rsidR="00E46DA7" w:rsidRDefault="00E46DA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B20A" w14:textId="77777777" w:rsidR="00E46DA7" w:rsidRDefault="00B067D2">
    <w:pPr>
      <w:pStyle w:val="afd"/>
    </w:pPr>
    <w:r>
      <w:t>DB2</w:t>
    </w:r>
    <w:r>
      <w:rPr>
        <w:rFonts w:hint="eastAsia"/>
      </w:rPr>
      <w:t>1</w:t>
    </w:r>
    <w:r>
      <w:t>/</w:t>
    </w:r>
    <w:r>
      <w:rPr>
        <w:rFonts w:hint="eastAsia"/>
      </w:rPr>
      <w:t>T</w:t>
    </w:r>
    <w:r>
      <w:t xml:space="preserve"> XXXXX</w:t>
    </w:r>
    <w:r>
      <w:rPr>
        <w:rFonts w:hint="eastAsia"/>
      </w:rPr>
      <w:t>—</w:t>
    </w:r>
    <w:r>
      <w:rPr>
        <w:rFonts w:hint="eastAsia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0D6E" w14:textId="77777777" w:rsidR="00E46DA7" w:rsidRDefault="00E46DA7">
    <w:pPr>
      <w:pStyle w:val="a9"/>
      <w:pBdr>
        <w:bottom w:val="none" w:sz="0" w:space="1" w:color="auto"/>
      </w:pBdr>
      <w:tabs>
        <w:tab w:val="clear" w:pos="4153"/>
        <w:tab w:val="clear" w:pos="8306"/>
        <w:tab w:val="left" w:pos="3451"/>
      </w:tabs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1FD6" w14:textId="77777777" w:rsidR="00E46DA7" w:rsidRDefault="00B067D2">
    <w:pPr>
      <w:pStyle w:val="afd"/>
      <w:jc w:val="left"/>
    </w:pPr>
    <w:r>
      <w:t>DB2</w:t>
    </w:r>
    <w:r>
      <w:rPr>
        <w:rFonts w:hint="eastAsia"/>
      </w:rPr>
      <w:t>1</w:t>
    </w:r>
    <w:r>
      <w:t>/</w:t>
    </w:r>
    <w:r>
      <w:rPr>
        <w:rFonts w:hint="eastAsia"/>
      </w:rPr>
      <w:t>T</w:t>
    </w:r>
    <w:r>
      <w:t xml:space="preserve"> XXXXX</w:t>
    </w:r>
    <w:r>
      <w:rPr>
        <w:rFonts w:hint="eastAsia"/>
      </w:rPr>
      <w:t>—</w:t>
    </w:r>
    <w:r>
      <w:rPr>
        <w:rFonts w:hint="eastAsia"/>
      </w:rPr>
      <w:t>2021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9C79" w14:textId="77777777" w:rsidR="00E46DA7" w:rsidRDefault="00B067D2">
    <w:pPr>
      <w:pStyle w:val="afd"/>
    </w:pPr>
    <w:r>
      <w:t>DB21/</w:t>
    </w:r>
    <w:r>
      <w:rPr>
        <w:rFonts w:hint="eastAsia"/>
      </w:rPr>
      <w:t>T</w:t>
    </w:r>
    <w:r>
      <w:t xml:space="preserve"> XXXXX</w:t>
    </w:r>
    <w:r>
      <w:rPr>
        <w:rFonts w:hint="eastAsia"/>
      </w:rPr>
      <w:t>—</w:t>
    </w:r>
    <w:r>
      <w:rPr>
        <w:rFonts w:hint="eastAsia"/>
      </w:rPr>
      <w:t>2021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63AC" w14:textId="77777777" w:rsidR="00E46DA7" w:rsidRDefault="00B067D2">
    <w:pPr>
      <w:pStyle w:val="afd"/>
    </w:pPr>
    <w:r>
      <w:t>DB2</w:t>
    </w:r>
    <w:r>
      <w:rPr>
        <w:rFonts w:hint="eastAsia"/>
      </w:rPr>
      <w:t>1</w:t>
    </w:r>
    <w:r>
      <w:t>/</w:t>
    </w:r>
    <w:r>
      <w:rPr>
        <w:rFonts w:hint="eastAsia"/>
      </w:rPr>
      <w:t>T</w:t>
    </w:r>
    <w:r>
      <w:t xml:space="preserve"> XXXXX</w:t>
    </w:r>
    <w:r>
      <w:rPr>
        <w:rFonts w:hint="eastAsia"/>
      </w:rPr>
      <w:t>—</w:t>
    </w:r>
    <w:r>
      <w:rPr>
        <w:rFonts w:hint="eastAsia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40739"/>
    <w:multiLevelType w:val="multilevel"/>
    <w:tmpl w:val="94640739"/>
    <w:lvl w:ilvl="0">
      <w:start w:val="4"/>
      <w:numFmt w:val="decimal"/>
      <w:lvlText w:val="%1"/>
      <w:lvlJc w:val="left"/>
      <w:pPr>
        <w:ind w:left="425" w:hanging="425"/>
      </w:pPr>
      <w:rPr>
        <w:rFonts w:ascii="宋体" w:eastAsia="宋体" w:hAnsi="宋体" w:cs="宋体" w:hint="default"/>
      </w:rPr>
    </w:lvl>
    <w:lvl w:ilvl="1">
      <w:start w:val="2"/>
      <w:numFmt w:val="decimal"/>
      <w:lvlText w:val="%1.%2"/>
      <w:lvlJc w:val="left"/>
      <w:pPr>
        <w:ind w:left="850" w:hanging="453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"/>
      <w:lvlJc w:val="left"/>
      <w:pPr>
        <w:ind w:left="708" w:hanging="708"/>
      </w:pPr>
      <w:rPr>
        <w:rFonts w:ascii="黑体" w:eastAsia="黑体" w:hAnsi="黑体" w:cs="黑体"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 w15:restartNumberingAfterBreak="0">
    <w:nsid w:val="16D35988"/>
    <w:multiLevelType w:val="multilevel"/>
    <w:tmpl w:val="16D35988"/>
    <w:lvl w:ilvl="0">
      <w:start w:val="7"/>
      <w:numFmt w:val="decimal"/>
      <w:lvlText w:val="%1"/>
      <w:lvlJc w:val="left"/>
      <w:pPr>
        <w:ind w:left="425" w:hanging="425"/>
      </w:pPr>
      <w:rPr>
        <w:rFonts w:ascii="黑体" w:eastAsia="黑体" w:hAnsi="黑体" w:cs="黑体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黑体" w:eastAsia="黑体" w:hAnsi="黑体" w:cs="黑体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E8640F0"/>
    <w:multiLevelType w:val="multilevel"/>
    <w:tmpl w:val="1E8640F0"/>
    <w:lvl w:ilvl="0">
      <w:start w:val="3"/>
      <w:numFmt w:val="decimal"/>
      <w:lvlText w:val="%1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ascii="黑体" w:eastAsia="黑体" w:hAnsi="黑体" w:cs="黑体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 w15:restartNumberingAfterBreak="0">
    <w:nsid w:val="2A331ADF"/>
    <w:multiLevelType w:val="multilevel"/>
    <w:tmpl w:val="2A331ADF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黑体" w:eastAsia="黑体" w:hAnsi="黑体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20939D1"/>
    <w:multiLevelType w:val="multilevel"/>
    <w:tmpl w:val="320939D1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黑体" w:eastAsia="黑体" w:hAnsi="黑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504E12A9"/>
    <w:multiLevelType w:val="multilevel"/>
    <w:tmpl w:val="504E12A9"/>
    <w:lvl w:ilvl="0">
      <w:start w:val="1"/>
      <w:numFmt w:val="decimal"/>
      <w:lvlText w:val="%1"/>
      <w:lvlJc w:val="left"/>
      <w:pPr>
        <w:ind w:left="0" w:firstLine="0"/>
      </w:pPr>
      <w:rPr>
        <w:rFonts w:ascii="黑体" w:eastAsia="黑体" w:hAnsi="黑体" w:hint="eastAsia"/>
        <w:b w:val="0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ascii="黑体" w:eastAsia="黑体" w:hAnsi="黑体" w:hint="default"/>
      </w:rPr>
    </w:lvl>
    <w:lvl w:ilvl="2">
      <w:start w:val="1"/>
      <w:numFmt w:val="decimal"/>
      <w:isLgl/>
      <w:lvlText w:val="%1.%2.%3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7" w15:restartNumberingAfterBreak="0">
    <w:nsid w:val="5D1ECB94"/>
    <w:multiLevelType w:val="multilevel"/>
    <w:tmpl w:val="5D1ECB94"/>
    <w:lvl w:ilvl="0">
      <w:start w:val="4"/>
      <w:numFmt w:val="decimal"/>
      <w:lvlText w:val="%1"/>
      <w:lvlJc w:val="left"/>
      <w:pPr>
        <w:tabs>
          <w:tab w:val="left" w:pos="0"/>
        </w:tabs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850" w:hanging="453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708" w:hanging="708"/>
      </w:pPr>
      <w:rPr>
        <w:rFonts w:ascii="黑体" w:eastAsia="黑体" w:hAnsi="黑体" w:cs="黑体" w:hint="default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2053" w:hanging="853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648" w:hanging="1448"/>
      </w:pPr>
      <w:rPr>
        <w:rFonts w:hint="default"/>
      </w:rPr>
    </w:lvl>
  </w:abstractNum>
  <w:abstractNum w:abstractNumId="8" w15:restartNumberingAfterBreak="0">
    <w:nsid w:val="646A79E9"/>
    <w:multiLevelType w:val="multilevel"/>
    <w:tmpl w:val="646A79E9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黑体" w:eastAsia="黑体" w:hAnsi="黑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6DF63970"/>
    <w:multiLevelType w:val="multilevel"/>
    <w:tmpl w:val="6DF63970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黑体" w:eastAsia="黑体" w:hAnsi="黑体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Y0OTZjMjE1NzVhODM0MWNiNzlhNDM5N2JlZWYwNjkifQ=="/>
  </w:docVars>
  <w:rsids>
    <w:rsidRoot w:val="0037111C"/>
    <w:rsid w:val="00064D9A"/>
    <w:rsid w:val="0037111C"/>
    <w:rsid w:val="009E36FB"/>
    <w:rsid w:val="00B067D2"/>
    <w:rsid w:val="00B51A50"/>
    <w:rsid w:val="00E46DA7"/>
    <w:rsid w:val="07697D31"/>
    <w:rsid w:val="0EBC7C56"/>
    <w:rsid w:val="1B093ABB"/>
    <w:rsid w:val="2A793199"/>
    <w:rsid w:val="2EE00272"/>
    <w:rsid w:val="424841C8"/>
    <w:rsid w:val="55994521"/>
    <w:rsid w:val="593411F0"/>
    <w:rsid w:val="5F0E45C8"/>
    <w:rsid w:val="630E06E5"/>
    <w:rsid w:val="77AE602A"/>
    <w:rsid w:val="7AB62E5F"/>
    <w:rsid w:val="7E34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 fillcolor="white">
      <v:fill color="white"/>
    </o:shapedefaults>
    <o:shapelayout v:ext="edit">
      <o:idmap v:ext="edit" data="1,2"/>
    </o:shapelayout>
  </w:shapeDefaults>
  <w:decimalSymbol w:val="."/>
  <w:listSeparator w:val=","/>
  <w14:docId w14:val="311652B5"/>
  <w15:docId w15:val="{E406666D-167F-4618-A7A6-9A2C7B62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a1"/>
    <w:qFormat/>
    <w:pPr>
      <w:widowControl w:val="0"/>
      <w:spacing w:after="200" w:line="276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qFormat/>
    <w:pPr>
      <w:widowControl w:val="0"/>
      <w:spacing w:line="560" w:lineRule="exact"/>
      <w:ind w:firstLineChars="200" w:firstLine="420"/>
      <w:jc w:val="both"/>
    </w:pPr>
    <w:rPr>
      <w:rFonts w:eastAsia="仿宋_GB2312" w:cs="仿宋_GB2312"/>
      <w:kern w:val="2"/>
      <w:sz w:val="32"/>
      <w:szCs w:val="32"/>
    </w:rPr>
  </w:style>
  <w:style w:type="paragraph" w:styleId="TOC3">
    <w:name w:val="toc 3"/>
    <w:basedOn w:val="a0"/>
    <w:next w:val="a0"/>
    <w:uiPriority w:val="39"/>
    <w:unhideWhenUsed/>
    <w:qFormat/>
    <w:pPr>
      <w:ind w:leftChars="400" w:left="840"/>
    </w:pPr>
  </w:style>
  <w:style w:type="paragraph" w:styleId="a5">
    <w:name w:val="Balloon Text"/>
    <w:basedOn w:val="a0"/>
    <w:link w:val="a6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7">
    <w:name w:val="footer"/>
    <w:basedOn w:val="a0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9">
    <w:name w:val="header"/>
    <w:basedOn w:val="a0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0"/>
    <w:next w:val="a0"/>
    <w:uiPriority w:val="39"/>
    <w:unhideWhenUsed/>
    <w:qFormat/>
  </w:style>
  <w:style w:type="paragraph" w:styleId="ab">
    <w:name w:val="footnote text"/>
    <w:basedOn w:val="a0"/>
    <w:link w:val="ac"/>
    <w:uiPriority w:val="99"/>
    <w:unhideWhenUsed/>
    <w:qFormat/>
    <w:pPr>
      <w:snapToGrid w:val="0"/>
    </w:pPr>
    <w:rPr>
      <w:sz w:val="18"/>
      <w:szCs w:val="18"/>
    </w:rPr>
  </w:style>
  <w:style w:type="paragraph" w:styleId="TOC2">
    <w:name w:val="toc 2"/>
    <w:basedOn w:val="a0"/>
    <w:next w:val="a0"/>
    <w:uiPriority w:val="39"/>
    <w:unhideWhenUsed/>
    <w:qFormat/>
    <w:pPr>
      <w:ind w:leftChars="200" w:left="420"/>
    </w:pPr>
  </w:style>
  <w:style w:type="paragraph" w:styleId="ad">
    <w:name w:val="Normal (Web)"/>
    <w:basedOn w:val="a0"/>
    <w:uiPriority w:val="99"/>
    <w:semiHidden/>
    <w:unhideWhenUsed/>
    <w:qFormat/>
    <w:pPr>
      <w:spacing w:beforeAutospacing="1" w:after="0" w:afterAutospacing="1"/>
    </w:pPr>
    <w:rPr>
      <w:rFonts w:cs="Times New Roman"/>
      <w:kern w:val="0"/>
      <w:sz w:val="24"/>
    </w:rPr>
  </w:style>
  <w:style w:type="character" w:styleId="ae">
    <w:name w:val="Hyperlink"/>
    <w:basedOn w:val="a2"/>
    <w:uiPriority w:val="99"/>
    <w:unhideWhenUsed/>
    <w:qFormat/>
    <w:rPr>
      <w:color w:val="0000FF" w:themeColor="hyperlink"/>
      <w:u w:val="single"/>
    </w:rPr>
  </w:style>
  <w:style w:type="character" w:styleId="af">
    <w:name w:val="footnote reference"/>
    <w:basedOn w:val="a2"/>
    <w:uiPriority w:val="99"/>
    <w:unhideWhenUsed/>
    <w:qFormat/>
    <w:rPr>
      <w:vertAlign w:val="superscript"/>
    </w:rPr>
  </w:style>
  <w:style w:type="paragraph" w:customStyle="1" w:styleId="af0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link w:val="af0"/>
    <w:qFormat/>
    <w:rPr>
      <w:rFonts w:ascii="宋体" w:eastAsia="宋体" w:hAnsi="Times New Roman" w:cs="Times New Roman"/>
      <w:sz w:val="21"/>
    </w:rPr>
  </w:style>
  <w:style w:type="paragraph" w:customStyle="1" w:styleId="af1">
    <w:name w:val="前言、引言标题"/>
    <w:next w:val="af0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21">
    <w:name w:val="封面标准号2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character" w:customStyle="1" w:styleId="af2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3">
    <w:name w:val="封面标准代替信息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4">
    <w:name w:val="封面一致性程度标识"/>
    <w:basedOn w:val="a0"/>
    <w:qFormat/>
    <w:pPr>
      <w:framePr w:w="9639" w:h="6917" w:hRule="exact" w:wrap="around" w:vAnchor="page" w:hAnchor="page" w:xAlign="center" w:y="6408" w:anchorLock="1"/>
      <w:spacing w:before="440" w:after="0" w:line="400" w:lineRule="exact"/>
      <w:jc w:val="center"/>
      <w:textAlignment w:val="center"/>
    </w:pPr>
    <w:rPr>
      <w:rFonts w:ascii="宋体" w:eastAsia="宋体" w:hAnsi="Times New Roman" w:cs="Times New Roman"/>
      <w:kern w:val="0"/>
      <w:sz w:val="28"/>
      <w:szCs w:val="28"/>
    </w:rPr>
  </w:style>
  <w:style w:type="paragraph" w:customStyle="1" w:styleId="af5">
    <w:name w:val="封面标准文稿类别"/>
    <w:basedOn w:val="af4"/>
    <w:qFormat/>
    <w:pPr>
      <w:framePr w:wrap="around"/>
      <w:spacing w:after="160" w:line="240" w:lineRule="auto"/>
    </w:pPr>
    <w:rPr>
      <w:sz w:val="24"/>
    </w:rPr>
  </w:style>
  <w:style w:type="paragraph" w:customStyle="1" w:styleId="af6">
    <w:name w:val="封面标准文稿编辑信息"/>
    <w:basedOn w:val="af5"/>
    <w:qFormat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0"/>
    <w:qFormat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after="0"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96"/>
    </w:rPr>
  </w:style>
  <w:style w:type="paragraph" w:customStyle="1" w:styleId="af8">
    <w:name w:val="其他标准称谓"/>
    <w:next w:val="a0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9">
    <w:name w:val="其他发布部门"/>
    <w:basedOn w:val="a0"/>
    <w:qFormat/>
    <w:pPr>
      <w:framePr w:w="7938" w:h="1134" w:hRule="exact" w:hSpace="125" w:vSpace="181" w:wrap="around" w:vAnchor="page" w:hAnchor="page" w:x="2150" w:y="15310" w:anchorLock="1"/>
      <w:widowControl/>
      <w:spacing w:after="0" w:line="0" w:lineRule="atLeast"/>
      <w:jc w:val="center"/>
    </w:pPr>
    <w:rPr>
      <w:rFonts w:ascii="黑体" w:eastAsia="黑体" w:hAnsi="Times New Roman" w:cs="Times New Roman"/>
      <w:spacing w:val="20"/>
      <w:w w:val="135"/>
      <w:kern w:val="0"/>
      <w:sz w:val="28"/>
      <w:szCs w:val="20"/>
    </w:rPr>
  </w:style>
  <w:style w:type="paragraph" w:customStyle="1" w:styleId="afa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b">
    <w:name w:val="其他发布日期"/>
    <w:basedOn w:val="a0"/>
    <w:qFormat/>
    <w:pPr>
      <w:framePr w:w="3997" w:h="471" w:hRule="exact" w:vSpace="181" w:wrap="around" w:vAnchor="page" w:hAnchor="page" w:x="1419" w:y="14097" w:anchorLock="1"/>
      <w:widowControl/>
      <w:spacing w:after="0" w:line="240" w:lineRule="auto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c">
    <w:name w:val="其他实施日期"/>
    <w:basedOn w:val="a0"/>
    <w:qFormat/>
    <w:pPr>
      <w:framePr w:w="3997" w:h="471" w:hRule="exact" w:vSpace="181" w:wrap="around" w:vAnchor="page" w:hAnchor="page" w:x="7089" w:y="14097" w:anchorLock="1"/>
      <w:widowControl/>
      <w:spacing w:after="0" w:line="240" w:lineRule="auto"/>
      <w:jc w:val="right"/>
    </w:pPr>
    <w:rPr>
      <w:rFonts w:ascii="Times New Roman" w:eastAsia="黑体" w:hAnsi="Times New Roman" w:cs="Times New Roman"/>
      <w:kern w:val="0"/>
      <w:sz w:val="28"/>
      <w:szCs w:val="20"/>
    </w:rPr>
  </w:style>
  <w:style w:type="character" w:customStyle="1" w:styleId="aa">
    <w:name w:val="页眉 字符"/>
    <w:basedOn w:val="a2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2"/>
    <w:link w:val="a7"/>
    <w:uiPriority w:val="99"/>
    <w:qFormat/>
    <w:rPr>
      <w:kern w:val="2"/>
      <w:sz w:val="18"/>
      <w:szCs w:val="18"/>
    </w:rPr>
  </w:style>
  <w:style w:type="paragraph" w:customStyle="1" w:styleId="afd">
    <w:name w:val="标准书眉_奇数页"/>
    <w:next w:val="a0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11">
    <w:name w:val="列出段落1"/>
    <w:basedOn w:val="a0"/>
    <w:uiPriority w:val="99"/>
    <w:unhideWhenUsed/>
    <w:qFormat/>
    <w:pPr>
      <w:ind w:firstLineChars="200" w:firstLine="420"/>
    </w:pPr>
  </w:style>
  <w:style w:type="character" w:customStyle="1" w:styleId="ac">
    <w:name w:val="脚注文本 字符"/>
    <w:basedOn w:val="a2"/>
    <w:link w:val="ab"/>
    <w:uiPriority w:val="99"/>
    <w:semiHidden/>
    <w:qFormat/>
    <w:rPr>
      <w:kern w:val="2"/>
      <w:sz w:val="18"/>
      <w:szCs w:val="18"/>
    </w:rPr>
  </w:style>
  <w:style w:type="paragraph" w:customStyle="1" w:styleId="afe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character" w:customStyle="1" w:styleId="10">
    <w:name w:val="标题 1 字符"/>
    <w:basedOn w:val="a2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0">
    <w:name w:val="TOC 标题1"/>
    <w:basedOn w:val="1"/>
    <w:next w:val="a0"/>
    <w:uiPriority w:val="39"/>
    <w:unhideWhenUsed/>
    <w:qFormat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6">
    <w:name w:val="批注框文本 字符"/>
    <w:basedOn w:val="a2"/>
    <w:link w:val="a5"/>
    <w:uiPriority w:val="99"/>
    <w:semiHidden/>
    <w:qFormat/>
    <w:rPr>
      <w:kern w:val="2"/>
      <w:sz w:val="18"/>
      <w:szCs w:val="18"/>
    </w:rPr>
  </w:style>
  <w:style w:type="paragraph" w:customStyle="1" w:styleId="a">
    <w:name w:val="章标题"/>
    <w:next w:val="af0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f">
    <w:name w:val="终结线"/>
    <w:basedOn w:val="a0"/>
    <w:qFormat/>
    <w:pPr>
      <w:framePr w:hSpace="181" w:vSpace="181" w:wrap="around" w:vAnchor="text" w:hAnchor="margin" w:xAlign="center" w:y="285"/>
      <w:spacing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TOC20">
    <w:name w:val="TOC 标题2"/>
    <w:basedOn w:val="1"/>
    <w:next w:val="a0"/>
    <w:uiPriority w:val="39"/>
    <w:unhideWhenUsed/>
    <w:qFormat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标题 2 字符"/>
    <w:basedOn w:val="a2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WPSOffice1">
    <w:name w:val="WPSOffice手动目录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baike.so.com/doc/882011-932327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109"/>
    <customShpInfo spid="_x0000_s3098"/>
    <customShpInfo spid="_x0000_s3100"/>
    <customShpInfo spid="_x0000_s3099"/>
    <customShpInfo spid="_x0000_s3097"/>
    <customShpInfo spid="_x0000_s3108"/>
    <customShpInfo spid="_x0000_s3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赵 daniel</cp:lastModifiedBy>
  <cp:revision>3</cp:revision>
  <cp:lastPrinted>2023-02-13T07:59:00Z</cp:lastPrinted>
  <dcterms:created xsi:type="dcterms:W3CDTF">2022-08-30T03:39:00Z</dcterms:created>
  <dcterms:modified xsi:type="dcterms:W3CDTF">2023-03-30T09:06:00Z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23A43AD4E3A0AEA09168EA615BB93019</vt:lpwstr>
  </property>
</Properties>
</file>