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EA88">
      <w:pPr>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4A517C6">
      <w:pPr>
        <w:spacing w:line="400" w:lineRule="exact"/>
        <w:jc w:val="center"/>
        <w:rPr>
          <w:rFonts w:ascii="方正小标宋_GBK" w:eastAsia="方正小标宋_GBK"/>
          <w:sz w:val="40"/>
          <w:szCs w:val="40"/>
        </w:rPr>
      </w:pPr>
    </w:p>
    <w:p w14:paraId="4316F2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 xml:space="preserve"> </w:t>
      </w:r>
      <w:r>
        <w:rPr>
          <w:rFonts w:hint="eastAsia" w:ascii="方正小标宋简体" w:hAnsi="方正小标宋简体" w:eastAsia="方正小标宋简体" w:cs="方正小标宋简体"/>
          <w:sz w:val="44"/>
          <w:szCs w:val="44"/>
        </w:rPr>
        <w:t>“证照分离”改革全覆盖试点事项清单</w:t>
      </w:r>
    </w:p>
    <w:p w14:paraId="37EE24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（地方层面设定，</w:t>
      </w:r>
      <w:r>
        <w:rPr>
          <w:rFonts w:hint="default" w:ascii="Times New Roman" w:hAnsi="Times New Roman" w:eastAsia="方正小标宋简体" w:cs="Times New Roman"/>
          <w:sz w:val="44"/>
          <w:szCs w:val="44"/>
        </w:rPr>
        <w:t>2019</w:t>
      </w:r>
      <w:r>
        <w:rPr>
          <w:rFonts w:hint="eastAsia" w:ascii="方正小标宋简体" w:hAnsi="方正小标宋简体" w:eastAsia="方正小标宋简体" w:cs="方正小标宋简体"/>
          <w:sz w:val="44"/>
          <w:szCs w:val="44"/>
        </w:rPr>
        <w:t>年版）</w:t>
      </w:r>
    </w:p>
    <w:p w14:paraId="7331C520">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（共5项）</w:t>
      </w:r>
    </w:p>
    <w:p w14:paraId="03AB0C6A">
      <w:pPr>
        <w:spacing w:line="200" w:lineRule="exact"/>
        <w:jc w:val="center"/>
        <w:rPr>
          <w:rFonts w:ascii="楷体_GB2312" w:eastAsia="楷体_GB2312"/>
          <w:sz w:val="24"/>
        </w:rPr>
      </w:pPr>
    </w:p>
    <w:p w14:paraId="74EB87E1">
      <w:pPr>
        <w:spacing w:line="200" w:lineRule="exact"/>
        <w:jc w:val="both"/>
        <w:rPr>
          <w:rFonts w:ascii="楷体_GB2312" w:eastAsia="楷体_GB2312"/>
          <w:sz w:val="2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99"/>
        <w:gridCol w:w="567"/>
        <w:gridCol w:w="851"/>
        <w:gridCol w:w="850"/>
        <w:gridCol w:w="826"/>
        <w:gridCol w:w="908"/>
        <w:gridCol w:w="240"/>
        <w:gridCol w:w="240"/>
        <w:gridCol w:w="240"/>
        <w:gridCol w:w="240"/>
        <w:gridCol w:w="1748"/>
        <w:gridCol w:w="2468"/>
      </w:tblGrid>
      <w:tr w14:paraId="101D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299" w:type="dxa"/>
            <w:vMerge w:val="restart"/>
            <w:noWrap w:val="0"/>
            <w:vAlign w:val="center"/>
          </w:tcPr>
          <w:p w14:paraId="7A4EAB75">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序号</w:t>
            </w:r>
          </w:p>
        </w:tc>
        <w:tc>
          <w:tcPr>
            <w:tcW w:w="567" w:type="dxa"/>
            <w:vMerge w:val="restart"/>
            <w:noWrap w:val="0"/>
            <w:vAlign w:val="center"/>
          </w:tcPr>
          <w:p w14:paraId="43DB40BE">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主管</w:t>
            </w:r>
          </w:p>
          <w:p w14:paraId="7127371C">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部门</w:t>
            </w:r>
          </w:p>
        </w:tc>
        <w:tc>
          <w:tcPr>
            <w:tcW w:w="851" w:type="dxa"/>
            <w:vMerge w:val="restart"/>
            <w:noWrap w:val="0"/>
            <w:vAlign w:val="center"/>
          </w:tcPr>
          <w:p w14:paraId="605AD516">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改革</w:t>
            </w:r>
          </w:p>
          <w:p w14:paraId="44874478">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事项</w:t>
            </w:r>
          </w:p>
        </w:tc>
        <w:tc>
          <w:tcPr>
            <w:tcW w:w="850" w:type="dxa"/>
            <w:vMerge w:val="restart"/>
            <w:noWrap w:val="0"/>
            <w:vAlign w:val="center"/>
          </w:tcPr>
          <w:p w14:paraId="7D7FDAA1">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许可证件</w:t>
            </w:r>
          </w:p>
          <w:p w14:paraId="2A6FAFE2">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名称</w:t>
            </w:r>
          </w:p>
        </w:tc>
        <w:tc>
          <w:tcPr>
            <w:tcW w:w="826" w:type="dxa"/>
            <w:vMerge w:val="restart"/>
            <w:noWrap w:val="0"/>
            <w:vAlign w:val="center"/>
          </w:tcPr>
          <w:p w14:paraId="409928DC">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设定依据</w:t>
            </w:r>
          </w:p>
        </w:tc>
        <w:tc>
          <w:tcPr>
            <w:tcW w:w="908" w:type="dxa"/>
            <w:vMerge w:val="restart"/>
            <w:noWrap w:val="0"/>
            <w:vAlign w:val="center"/>
          </w:tcPr>
          <w:p w14:paraId="2D8CA539">
            <w:pPr>
              <w:widowControl/>
              <w:spacing w:line="200" w:lineRule="exact"/>
              <w:contextualSpacing/>
              <w:jc w:val="center"/>
              <w:rPr>
                <w:rFonts w:hint="default"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审批层级</w:t>
            </w:r>
          </w:p>
          <w:p w14:paraId="701AA45B">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和部门</w:t>
            </w:r>
          </w:p>
        </w:tc>
        <w:tc>
          <w:tcPr>
            <w:tcW w:w="960" w:type="dxa"/>
            <w:gridSpan w:val="4"/>
            <w:noWrap w:val="0"/>
            <w:vAlign w:val="center"/>
          </w:tcPr>
          <w:p w14:paraId="02CBDCFC">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改革方式</w:t>
            </w:r>
          </w:p>
        </w:tc>
        <w:tc>
          <w:tcPr>
            <w:tcW w:w="1748" w:type="dxa"/>
            <w:vMerge w:val="restart"/>
            <w:noWrap w:val="0"/>
            <w:vAlign w:val="center"/>
          </w:tcPr>
          <w:p w14:paraId="080AFFA3">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具体改革举措</w:t>
            </w:r>
          </w:p>
        </w:tc>
        <w:tc>
          <w:tcPr>
            <w:tcW w:w="2468" w:type="dxa"/>
            <w:vMerge w:val="restart"/>
            <w:noWrap w:val="0"/>
            <w:vAlign w:val="center"/>
          </w:tcPr>
          <w:p w14:paraId="1F7EC97B">
            <w:pPr>
              <w:widowControl/>
              <w:spacing w:line="200" w:lineRule="exact"/>
              <w:contextualSpacing/>
              <w:jc w:val="center"/>
              <w:rPr>
                <w:rFonts w:ascii="Times New Roman" w:hAnsi="Times New Roman" w:eastAsia="方正黑体_GBK" w:cs="Times New Roman"/>
                <w:bCs/>
                <w:kern w:val="0"/>
                <w:sz w:val="15"/>
                <w:szCs w:val="15"/>
              </w:rPr>
            </w:pPr>
            <w:r>
              <w:rPr>
                <w:rFonts w:hint="default" w:ascii="Times New Roman" w:hAnsi="Times New Roman" w:eastAsia="方正黑体_GBK" w:cs="Times New Roman"/>
                <w:bCs/>
                <w:kern w:val="0"/>
                <w:sz w:val="15"/>
                <w:szCs w:val="15"/>
              </w:rPr>
              <w:t>加强事中事后监管措施</w:t>
            </w:r>
          </w:p>
        </w:tc>
      </w:tr>
      <w:tr w14:paraId="2519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tblHeader/>
          <w:jc w:val="center"/>
        </w:trPr>
        <w:tc>
          <w:tcPr>
            <w:tcW w:w="299" w:type="dxa"/>
            <w:vMerge w:val="continue"/>
            <w:noWrap w:val="0"/>
            <w:vAlign w:val="center"/>
          </w:tcPr>
          <w:p w14:paraId="5B738BFE">
            <w:pPr>
              <w:widowControl/>
              <w:spacing w:line="200" w:lineRule="exact"/>
              <w:contextualSpacing/>
              <w:jc w:val="center"/>
              <w:rPr>
                <w:rFonts w:ascii="Times New Roman" w:hAnsi="Times New Roman" w:cs="Times New Roman"/>
                <w:b/>
                <w:bCs/>
                <w:kern w:val="0"/>
                <w:sz w:val="15"/>
                <w:szCs w:val="15"/>
              </w:rPr>
            </w:pPr>
          </w:p>
        </w:tc>
        <w:tc>
          <w:tcPr>
            <w:tcW w:w="567" w:type="dxa"/>
            <w:vMerge w:val="continue"/>
            <w:noWrap w:val="0"/>
            <w:vAlign w:val="center"/>
          </w:tcPr>
          <w:p w14:paraId="6AF09011">
            <w:pPr>
              <w:widowControl/>
              <w:spacing w:line="200" w:lineRule="exact"/>
              <w:contextualSpacing/>
              <w:jc w:val="left"/>
              <w:rPr>
                <w:rFonts w:ascii="Times New Roman" w:hAnsi="Times New Roman" w:cs="Times New Roman"/>
                <w:b/>
                <w:bCs/>
                <w:kern w:val="0"/>
                <w:sz w:val="15"/>
                <w:szCs w:val="15"/>
              </w:rPr>
            </w:pPr>
          </w:p>
        </w:tc>
        <w:tc>
          <w:tcPr>
            <w:tcW w:w="851" w:type="dxa"/>
            <w:vMerge w:val="continue"/>
            <w:noWrap w:val="0"/>
            <w:vAlign w:val="center"/>
          </w:tcPr>
          <w:p w14:paraId="6BCD6856">
            <w:pPr>
              <w:widowControl/>
              <w:spacing w:line="200" w:lineRule="exact"/>
              <w:contextualSpacing/>
              <w:rPr>
                <w:rFonts w:ascii="Times New Roman" w:hAnsi="Times New Roman" w:eastAsia="方正仿宋_GBK" w:cs="Times New Roman"/>
                <w:kern w:val="0"/>
                <w:sz w:val="15"/>
                <w:szCs w:val="15"/>
              </w:rPr>
            </w:pPr>
          </w:p>
        </w:tc>
        <w:tc>
          <w:tcPr>
            <w:tcW w:w="850" w:type="dxa"/>
            <w:vMerge w:val="continue"/>
            <w:noWrap w:val="0"/>
            <w:vAlign w:val="center"/>
          </w:tcPr>
          <w:p w14:paraId="1E581F66">
            <w:pPr>
              <w:widowControl/>
              <w:spacing w:line="200" w:lineRule="exact"/>
              <w:contextualSpacing/>
              <w:jc w:val="left"/>
              <w:rPr>
                <w:rFonts w:ascii="Times New Roman" w:hAnsi="Times New Roman" w:cs="Times New Roman"/>
                <w:b/>
                <w:bCs/>
                <w:kern w:val="0"/>
                <w:sz w:val="15"/>
                <w:szCs w:val="15"/>
              </w:rPr>
            </w:pPr>
          </w:p>
        </w:tc>
        <w:tc>
          <w:tcPr>
            <w:tcW w:w="826" w:type="dxa"/>
            <w:vMerge w:val="continue"/>
            <w:noWrap w:val="0"/>
            <w:vAlign w:val="center"/>
          </w:tcPr>
          <w:p w14:paraId="712C519F">
            <w:pPr>
              <w:widowControl/>
              <w:spacing w:line="200" w:lineRule="exact"/>
              <w:contextualSpacing/>
              <w:jc w:val="left"/>
              <w:rPr>
                <w:rFonts w:ascii="Times New Roman" w:hAnsi="Times New Roman" w:cs="Times New Roman"/>
                <w:b/>
                <w:bCs/>
                <w:kern w:val="0"/>
                <w:sz w:val="15"/>
                <w:szCs w:val="15"/>
              </w:rPr>
            </w:pPr>
          </w:p>
        </w:tc>
        <w:tc>
          <w:tcPr>
            <w:tcW w:w="908" w:type="dxa"/>
            <w:vMerge w:val="continue"/>
            <w:noWrap w:val="0"/>
            <w:vAlign w:val="center"/>
          </w:tcPr>
          <w:p w14:paraId="3704E7D3">
            <w:pPr>
              <w:widowControl/>
              <w:spacing w:line="200" w:lineRule="exact"/>
              <w:contextualSpacing/>
              <w:jc w:val="left"/>
              <w:rPr>
                <w:rFonts w:ascii="Times New Roman" w:hAnsi="Times New Roman" w:cs="Times New Roman"/>
                <w:b/>
                <w:bCs/>
                <w:kern w:val="0"/>
                <w:sz w:val="15"/>
                <w:szCs w:val="15"/>
              </w:rPr>
            </w:pPr>
          </w:p>
        </w:tc>
        <w:tc>
          <w:tcPr>
            <w:tcW w:w="240" w:type="dxa"/>
            <w:noWrap w:val="0"/>
            <w:vAlign w:val="center"/>
          </w:tcPr>
          <w:p w14:paraId="464D3D3E">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直接取消审批</w:t>
            </w:r>
          </w:p>
        </w:tc>
        <w:tc>
          <w:tcPr>
            <w:tcW w:w="240" w:type="dxa"/>
            <w:noWrap w:val="0"/>
            <w:vAlign w:val="center"/>
          </w:tcPr>
          <w:p w14:paraId="0375A2E5">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审批改为备案</w:t>
            </w:r>
          </w:p>
        </w:tc>
        <w:tc>
          <w:tcPr>
            <w:tcW w:w="240" w:type="dxa"/>
            <w:noWrap w:val="0"/>
            <w:vAlign w:val="center"/>
          </w:tcPr>
          <w:p w14:paraId="41ADD585">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实行告知承诺</w:t>
            </w:r>
          </w:p>
        </w:tc>
        <w:tc>
          <w:tcPr>
            <w:tcW w:w="240" w:type="dxa"/>
            <w:noWrap w:val="0"/>
            <w:vAlign w:val="center"/>
          </w:tcPr>
          <w:p w14:paraId="4A7BFF18">
            <w:pPr>
              <w:widowControl/>
              <w:spacing w:line="200" w:lineRule="exact"/>
              <w:contextualSpacing/>
              <w:jc w:val="center"/>
              <w:rPr>
                <w:rFonts w:ascii="Times New Roman" w:hAnsi="Times New Roman" w:eastAsia="方正黑体_GBK" w:cs="Times New Roman"/>
                <w:bCs/>
                <w:spacing w:val="-16"/>
                <w:kern w:val="0"/>
                <w:sz w:val="15"/>
                <w:szCs w:val="15"/>
              </w:rPr>
            </w:pPr>
            <w:r>
              <w:rPr>
                <w:rFonts w:hint="default" w:ascii="Times New Roman" w:hAnsi="Times New Roman" w:eastAsia="方正黑体_GBK" w:cs="Times New Roman"/>
                <w:bCs/>
                <w:spacing w:val="-16"/>
                <w:kern w:val="0"/>
                <w:sz w:val="15"/>
                <w:szCs w:val="15"/>
              </w:rPr>
              <w:t>优化审批服务</w:t>
            </w:r>
          </w:p>
        </w:tc>
        <w:tc>
          <w:tcPr>
            <w:tcW w:w="1748" w:type="dxa"/>
            <w:vMerge w:val="continue"/>
            <w:noWrap w:val="0"/>
            <w:vAlign w:val="center"/>
          </w:tcPr>
          <w:p w14:paraId="3E067024">
            <w:pPr>
              <w:widowControl/>
              <w:spacing w:line="200" w:lineRule="exact"/>
              <w:contextualSpacing/>
              <w:jc w:val="left"/>
              <w:rPr>
                <w:rFonts w:ascii="Times New Roman" w:hAnsi="Times New Roman" w:cs="Times New Roman"/>
                <w:b/>
                <w:bCs/>
                <w:kern w:val="0"/>
                <w:sz w:val="15"/>
                <w:szCs w:val="15"/>
              </w:rPr>
            </w:pPr>
          </w:p>
        </w:tc>
        <w:tc>
          <w:tcPr>
            <w:tcW w:w="2468" w:type="dxa"/>
            <w:vMerge w:val="continue"/>
            <w:noWrap w:val="0"/>
            <w:vAlign w:val="center"/>
          </w:tcPr>
          <w:p w14:paraId="77E8AE11">
            <w:pPr>
              <w:widowControl/>
              <w:spacing w:line="200" w:lineRule="exact"/>
              <w:contextualSpacing/>
              <w:jc w:val="left"/>
              <w:rPr>
                <w:rFonts w:ascii="Times New Roman" w:hAnsi="Times New Roman" w:cs="Times New Roman"/>
                <w:b/>
                <w:bCs/>
                <w:kern w:val="0"/>
                <w:sz w:val="15"/>
                <w:szCs w:val="15"/>
              </w:rPr>
            </w:pPr>
          </w:p>
        </w:tc>
      </w:tr>
      <w:tr w14:paraId="2E44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14:paraId="0C61891C">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1</w:t>
            </w:r>
          </w:p>
        </w:tc>
        <w:tc>
          <w:tcPr>
            <w:tcW w:w="567" w:type="dxa"/>
            <w:noWrap w:val="0"/>
            <w:vAlign w:val="center"/>
          </w:tcPr>
          <w:p w14:paraId="1C6B7B8F">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省市场监管局</w:t>
            </w:r>
          </w:p>
        </w:tc>
        <w:tc>
          <w:tcPr>
            <w:tcW w:w="851" w:type="dxa"/>
            <w:noWrap w:val="0"/>
            <w:vAlign w:val="center"/>
          </w:tcPr>
          <w:p w14:paraId="630B7ADB">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小餐饮经营许可</w:t>
            </w:r>
          </w:p>
        </w:tc>
        <w:tc>
          <w:tcPr>
            <w:tcW w:w="850" w:type="dxa"/>
            <w:noWrap w:val="0"/>
            <w:vAlign w:val="center"/>
          </w:tcPr>
          <w:p w14:paraId="4C9B85E3">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小餐饮经营许可证</w:t>
            </w:r>
          </w:p>
        </w:tc>
        <w:tc>
          <w:tcPr>
            <w:tcW w:w="826" w:type="dxa"/>
            <w:noWrap w:val="0"/>
            <w:vAlign w:val="center"/>
          </w:tcPr>
          <w:p w14:paraId="154DF0B7">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《辽宁省食品安全条例》</w:t>
            </w:r>
          </w:p>
        </w:tc>
        <w:tc>
          <w:tcPr>
            <w:tcW w:w="908" w:type="dxa"/>
            <w:noWrap w:val="0"/>
            <w:vAlign w:val="center"/>
          </w:tcPr>
          <w:p w14:paraId="2994060D">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县级市场监管部门</w:t>
            </w:r>
          </w:p>
        </w:tc>
        <w:tc>
          <w:tcPr>
            <w:tcW w:w="240" w:type="dxa"/>
            <w:noWrap w:val="0"/>
            <w:vAlign w:val="center"/>
          </w:tcPr>
          <w:p w14:paraId="46EBB3A9">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51AEF8A0">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099A08E6">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240" w:type="dxa"/>
            <w:noWrap w:val="0"/>
            <w:vAlign w:val="center"/>
          </w:tcPr>
          <w:p w14:paraId="346889F4">
            <w:pPr>
              <w:widowControl/>
              <w:spacing w:beforeLines="0" w:afterLines="0" w:line="180" w:lineRule="exact"/>
              <w:contextualSpacing/>
              <w:jc w:val="center"/>
              <w:rPr>
                <w:rFonts w:ascii="Times New Roman" w:hAnsi="Times New Roman" w:cs="Times New Roman"/>
                <w:kern w:val="0"/>
                <w:sz w:val="15"/>
                <w:szCs w:val="15"/>
              </w:rPr>
            </w:pPr>
          </w:p>
        </w:tc>
        <w:tc>
          <w:tcPr>
            <w:tcW w:w="1748" w:type="dxa"/>
            <w:noWrap w:val="0"/>
            <w:vAlign w:val="center"/>
          </w:tcPr>
          <w:p w14:paraId="224AAA9B">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1.对80平方米以下的小餐饮实行告知承诺制改革；2.统一制作文本，向申请人提供示范文本，一次性告知审批条件和所需材料。对申请人承诺符合审批条件并提交材料的，当场发放许可证。3.实行营业执照在线核验</w:t>
            </w:r>
            <w:r>
              <w:rPr>
                <w:rFonts w:hint="eastAsia" w:ascii="Times New Roman" w:hAnsi="Times New Roman" w:cs="Times New Roman"/>
                <w:kern w:val="0"/>
                <w:sz w:val="15"/>
                <w:szCs w:val="15"/>
                <w:lang w:eastAsia="zh-CN"/>
              </w:rPr>
              <w:t>。</w:t>
            </w:r>
          </w:p>
        </w:tc>
        <w:tc>
          <w:tcPr>
            <w:tcW w:w="2468" w:type="dxa"/>
            <w:noWrap w:val="0"/>
            <w:vAlign w:val="center"/>
          </w:tcPr>
          <w:p w14:paraId="21C02823">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行政许可决定作出后，市场监管部门在2个月内对申请人的承诺内容是否属实进行现场检查。发现申请人实际情况与承诺内容不符的，应当要求其限期整改；整改后仍不符合条件的，行政审批部门应当依法撤销行政许可决定。市场监管部门发现申请人有违法行为的，依法查处。2.按照承诺许可后公示、反馈、移交的信息化工作要求，实现审批与监管的有效衔接。县区行政审批部门、市场监管部门发放许可的，应当在5个工作日内将相关材料移送给属地市场监管部门。</w:t>
            </w:r>
          </w:p>
        </w:tc>
      </w:tr>
      <w:tr w14:paraId="3B64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14:paraId="7F7A224C">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2</w:t>
            </w:r>
          </w:p>
        </w:tc>
        <w:tc>
          <w:tcPr>
            <w:tcW w:w="567" w:type="dxa"/>
            <w:noWrap w:val="0"/>
            <w:vAlign w:val="center"/>
          </w:tcPr>
          <w:p w14:paraId="18B87F24">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省市场监管局</w:t>
            </w:r>
          </w:p>
        </w:tc>
        <w:tc>
          <w:tcPr>
            <w:tcW w:w="851" w:type="dxa"/>
            <w:noWrap w:val="0"/>
            <w:vAlign w:val="center"/>
          </w:tcPr>
          <w:p w14:paraId="24164C47">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食品生产加工小作坊许可</w:t>
            </w:r>
          </w:p>
        </w:tc>
        <w:tc>
          <w:tcPr>
            <w:tcW w:w="850" w:type="dxa"/>
            <w:noWrap w:val="0"/>
            <w:vAlign w:val="center"/>
          </w:tcPr>
          <w:p w14:paraId="01F25CAA">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食品生产加工小作坊许可证</w:t>
            </w:r>
          </w:p>
        </w:tc>
        <w:tc>
          <w:tcPr>
            <w:tcW w:w="826" w:type="dxa"/>
            <w:noWrap w:val="0"/>
            <w:vAlign w:val="center"/>
          </w:tcPr>
          <w:p w14:paraId="473B9CDA">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《辽宁省食品安全条例》</w:t>
            </w:r>
          </w:p>
        </w:tc>
        <w:tc>
          <w:tcPr>
            <w:tcW w:w="908" w:type="dxa"/>
            <w:noWrap w:val="0"/>
            <w:vAlign w:val="center"/>
          </w:tcPr>
          <w:p w14:paraId="26E0DCE2">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县级市场监督管理部门</w:t>
            </w:r>
          </w:p>
        </w:tc>
        <w:tc>
          <w:tcPr>
            <w:tcW w:w="240" w:type="dxa"/>
            <w:noWrap w:val="0"/>
            <w:vAlign w:val="center"/>
          </w:tcPr>
          <w:p w14:paraId="390AC891">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250CE47A">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45924296">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w:t>
            </w:r>
          </w:p>
        </w:tc>
        <w:tc>
          <w:tcPr>
            <w:tcW w:w="240" w:type="dxa"/>
            <w:noWrap w:val="0"/>
            <w:vAlign w:val="center"/>
          </w:tcPr>
          <w:p w14:paraId="7113532B">
            <w:pPr>
              <w:widowControl/>
              <w:spacing w:beforeLines="0" w:afterLines="0" w:line="180" w:lineRule="exact"/>
              <w:contextualSpacing/>
              <w:jc w:val="center"/>
              <w:rPr>
                <w:rFonts w:ascii="Times New Roman" w:hAnsi="Times New Roman" w:cs="Times New Roman"/>
                <w:kern w:val="0"/>
                <w:sz w:val="15"/>
                <w:szCs w:val="15"/>
              </w:rPr>
            </w:pPr>
          </w:p>
        </w:tc>
        <w:tc>
          <w:tcPr>
            <w:tcW w:w="1748" w:type="dxa"/>
            <w:noWrap w:val="0"/>
            <w:vAlign w:val="center"/>
          </w:tcPr>
          <w:p w14:paraId="3FC1989F">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1.统一制作文本，向申请人提供示范文本，一次性告知审批条件和所需材料。对申请人承诺符合审批条件并提交材料的，当场发放许可证。2.实行营业执照在线核验</w:t>
            </w:r>
            <w:r>
              <w:rPr>
                <w:rFonts w:hint="eastAsia" w:ascii="Times New Roman" w:hAnsi="Times New Roman" w:cs="Times New Roman"/>
                <w:kern w:val="0"/>
                <w:sz w:val="15"/>
                <w:szCs w:val="15"/>
                <w:lang w:eastAsia="zh-CN"/>
              </w:rPr>
              <w:t>。</w:t>
            </w:r>
          </w:p>
        </w:tc>
        <w:tc>
          <w:tcPr>
            <w:tcW w:w="2468" w:type="dxa"/>
            <w:noWrap w:val="0"/>
            <w:vAlign w:val="center"/>
          </w:tcPr>
          <w:p w14:paraId="49A46578">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行政许可决定作出后，市场监管部门在2个月内对申请人的承诺内容是否属实进行现场检查。发现申请人实际情况与承诺内容不符的，应当要求其限期整改；整改后仍不符合条件的，行政审批部门应当依法撤销行政许可决定。市场监管部门发现申请人有违法行为的，依法查处。2.按照承诺许可后公示、反馈、移交的信息化工作要求，实现审批与监管的有效衔接。县区行政审批部门、市场监管部门发放许可的，应当在5个工作日内将相关材料移送给属地市场监管部门。</w:t>
            </w:r>
          </w:p>
        </w:tc>
      </w:tr>
      <w:tr w14:paraId="32D4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14:paraId="3452D17B">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3</w:t>
            </w:r>
          </w:p>
        </w:tc>
        <w:tc>
          <w:tcPr>
            <w:tcW w:w="567" w:type="dxa"/>
            <w:noWrap w:val="0"/>
            <w:vAlign w:val="center"/>
          </w:tcPr>
          <w:p w14:paraId="2B92F406">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省民族和宗教委</w:t>
            </w:r>
          </w:p>
        </w:tc>
        <w:tc>
          <w:tcPr>
            <w:tcW w:w="851" w:type="dxa"/>
            <w:noWrap w:val="0"/>
            <w:vAlign w:val="center"/>
          </w:tcPr>
          <w:p w14:paraId="7B6310DA">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清真食品生产经营许可</w:t>
            </w:r>
          </w:p>
        </w:tc>
        <w:tc>
          <w:tcPr>
            <w:tcW w:w="850" w:type="dxa"/>
            <w:noWrap w:val="0"/>
            <w:vAlign w:val="center"/>
          </w:tcPr>
          <w:p w14:paraId="0D4F9634">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清真食品生产经营许可证</w:t>
            </w:r>
          </w:p>
        </w:tc>
        <w:tc>
          <w:tcPr>
            <w:tcW w:w="826" w:type="dxa"/>
            <w:noWrap w:val="0"/>
            <w:vAlign w:val="center"/>
          </w:tcPr>
          <w:p w14:paraId="5ECA473E">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《辽宁省清真食品生产经营管理条例》</w:t>
            </w:r>
          </w:p>
        </w:tc>
        <w:tc>
          <w:tcPr>
            <w:tcW w:w="908" w:type="dxa"/>
            <w:noWrap w:val="0"/>
            <w:vAlign w:val="center"/>
          </w:tcPr>
          <w:p w14:paraId="13B4D399">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spacing w:val="-3"/>
                <w:kern w:val="0"/>
                <w:sz w:val="15"/>
                <w:szCs w:val="15"/>
              </w:rPr>
              <w:t>省级民族事务行政主管部门、市级民族事务行政主管部门、县级民族事务行政主管部门</w:t>
            </w:r>
          </w:p>
        </w:tc>
        <w:tc>
          <w:tcPr>
            <w:tcW w:w="240" w:type="dxa"/>
            <w:noWrap w:val="0"/>
            <w:vAlign w:val="center"/>
          </w:tcPr>
          <w:p w14:paraId="506B3AA2">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6FB8E712">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240" w:type="dxa"/>
            <w:noWrap w:val="0"/>
            <w:vAlign w:val="center"/>
          </w:tcPr>
          <w:p w14:paraId="5080DF36">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240" w:type="dxa"/>
            <w:noWrap w:val="0"/>
            <w:vAlign w:val="center"/>
          </w:tcPr>
          <w:p w14:paraId="270970F2">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14:paraId="53869D55">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1.精简办理时限，将承诺时限控制在法定时限的30%，即5日内办结。</w:t>
            </w:r>
          </w:p>
          <w:p w14:paraId="28BCF9FC">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2.精简清真屠宰企业申请材料，对能够通过信息共享的材料免于提交，网络申请时仅需提交申请表。</w:t>
            </w:r>
          </w:p>
        </w:tc>
        <w:tc>
          <w:tcPr>
            <w:tcW w:w="2468" w:type="dxa"/>
            <w:noWrap w:val="0"/>
            <w:vAlign w:val="center"/>
          </w:tcPr>
          <w:p w14:paraId="46EB6E9F">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1.严格现场勘验标准，严格防范“清真泛化”。</w:t>
            </w:r>
          </w:p>
          <w:p w14:paraId="26486155">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2.严格规范文明执法，编制年度执法检查计划，通过“双随机</w:t>
            </w:r>
            <w:r>
              <w:rPr>
                <w:rFonts w:hint="eastAsia" w:cs="Times New Roman"/>
                <w:kern w:val="0"/>
                <w:sz w:val="15"/>
                <w:szCs w:val="15"/>
                <w:lang w:eastAsia="zh-CN"/>
              </w:rPr>
              <w:t>、</w:t>
            </w:r>
            <w:bookmarkStart w:id="0" w:name="_GoBack"/>
            <w:bookmarkEnd w:id="0"/>
            <w:r>
              <w:rPr>
                <w:rFonts w:hint="default" w:ascii="Times New Roman" w:hAnsi="Times New Roman" w:cs="Times New Roman"/>
                <w:kern w:val="0"/>
                <w:sz w:val="15"/>
                <w:szCs w:val="15"/>
              </w:rPr>
              <w:t>一公开”开展涉企检查。</w:t>
            </w:r>
          </w:p>
        </w:tc>
      </w:tr>
      <w:tr w14:paraId="132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14:paraId="1D211838">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4</w:t>
            </w:r>
          </w:p>
        </w:tc>
        <w:tc>
          <w:tcPr>
            <w:tcW w:w="567" w:type="dxa"/>
            <w:noWrap w:val="0"/>
            <w:vAlign w:val="center"/>
          </w:tcPr>
          <w:p w14:paraId="4079CE07">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省农业农村厅</w:t>
            </w:r>
          </w:p>
        </w:tc>
        <w:tc>
          <w:tcPr>
            <w:tcW w:w="851" w:type="dxa"/>
            <w:noWrap w:val="0"/>
            <w:vAlign w:val="center"/>
          </w:tcPr>
          <w:p w14:paraId="31028CDE">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畜禽屠宰许可证核发</w:t>
            </w:r>
          </w:p>
        </w:tc>
        <w:tc>
          <w:tcPr>
            <w:tcW w:w="850" w:type="dxa"/>
            <w:noWrap w:val="0"/>
            <w:vAlign w:val="center"/>
          </w:tcPr>
          <w:p w14:paraId="0A6A9422">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畜禽屠宰许可证</w:t>
            </w:r>
          </w:p>
        </w:tc>
        <w:tc>
          <w:tcPr>
            <w:tcW w:w="826" w:type="dxa"/>
            <w:noWrap w:val="0"/>
            <w:vAlign w:val="center"/>
          </w:tcPr>
          <w:p w14:paraId="07E011AA">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《辽宁省畜禽屠宰管理条例》</w:t>
            </w:r>
          </w:p>
        </w:tc>
        <w:tc>
          <w:tcPr>
            <w:tcW w:w="908" w:type="dxa"/>
            <w:noWrap w:val="0"/>
            <w:vAlign w:val="center"/>
          </w:tcPr>
          <w:p w14:paraId="1931DF9D">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设区的市级人民政府</w:t>
            </w:r>
          </w:p>
        </w:tc>
        <w:tc>
          <w:tcPr>
            <w:tcW w:w="240" w:type="dxa"/>
            <w:noWrap w:val="0"/>
            <w:vAlign w:val="center"/>
          </w:tcPr>
          <w:p w14:paraId="1B81D2F6">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2C441611">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610E6A06">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60779383">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14:paraId="5A8B2EA7">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不再要求申请人提供动物防疫条件合格证和符合环境保护要求的污染防治设施清单及相关证明材料,通过部门间信息共享获取相关信息。</w:t>
            </w:r>
          </w:p>
        </w:tc>
        <w:tc>
          <w:tcPr>
            <w:tcW w:w="2468" w:type="dxa"/>
            <w:noWrap w:val="0"/>
            <w:vAlign w:val="center"/>
          </w:tcPr>
          <w:p w14:paraId="1F40739C">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spacing w:val="-6"/>
                <w:kern w:val="0"/>
                <w:sz w:val="15"/>
                <w:szCs w:val="15"/>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r>
      <w:tr w14:paraId="3C82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23" w:hRule="atLeast"/>
          <w:jc w:val="center"/>
        </w:trPr>
        <w:tc>
          <w:tcPr>
            <w:tcW w:w="299" w:type="dxa"/>
            <w:noWrap w:val="0"/>
            <w:vAlign w:val="center"/>
          </w:tcPr>
          <w:p w14:paraId="294A2683">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5</w:t>
            </w:r>
          </w:p>
        </w:tc>
        <w:tc>
          <w:tcPr>
            <w:tcW w:w="567" w:type="dxa"/>
            <w:noWrap w:val="0"/>
            <w:vAlign w:val="center"/>
          </w:tcPr>
          <w:p w14:paraId="4D2F02F7">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省农业农村厅</w:t>
            </w:r>
          </w:p>
        </w:tc>
        <w:tc>
          <w:tcPr>
            <w:tcW w:w="851" w:type="dxa"/>
            <w:noWrap w:val="0"/>
            <w:vAlign w:val="center"/>
          </w:tcPr>
          <w:p w14:paraId="02F3EFF3">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果树种苗生产、经营许可证核发</w:t>
            </w:r>
          </w:p>
        </w:tc>
        <w:tc>
          <w:tcPr>
            <w:tcW w:w="850" w:type="dxa"/>
            <w:noWrap w:val="0"/>
            <w:vAlign w:val="center"/>
          </w:tcPr>
          <w:p w14:paraId="12B21A0C">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果树种苗生产许可证</w:t>
            </w:r>
          </w:p>
          <w:p w14:paraId="2A214670">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果树种苗经营许可证</w:t>
            </w:r>
          </w:p>
        </w:tc>
        <w:tc>
          <w:tcPr>
            <w:tcW w:w="826" w:type="dxa"/>
            <w:noWrap w:val="0"/>
            <w:vAlign w:val="center"/>
          </w:tcPr>
          <w:p w14:paraId="04ABD04C">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《中华人民共和国种子法》</w:t>
            </w:r>
          </w:p>
          <w:p w14:paraId="0D211E5C">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《辽宁省果树管理办法》</w:t>
            </w:r>
          </w:p>
        </w:tc>
        <w:tc>
          <w:tcPr>
            <w:tcW w:w="908" w:type="dxa"/>
            <w:noWrap w:val="0"/>
            <w:vAlign w:val="center"/>
          </w:tcPr>
          <w:p w14:paraId="2ECF8EDA">
            <w:pPr>
              <w:widowControl/>
              <w:spacing w:beforeLines="0" w:afterLines="0" w:line="180" w:lineRule="exact"/>
              <w:contextualSpacing/>
              <w:jc w:val="both"/>
              <w:rPr>
                <w:rFonts w:ascii="Times New Roman" w:hAnsi="Times New Roman" w:cs="Times New Roman"/>
                <w:kern w:val="0"/>
                <w:sz w:val="15"/>
                <w:szCs w:val="15"/>
              </w:rPr>
            </w:pPr>
            <w:r>
              <w:rPr>
                <w:rFonts w:hint="default" w:ascii="Times New Roman" w:hAnsi="Times New Roman" w:cs="Times New Roman"/>
                <w:kern w:val="0"/>
                <w:sz w:val="15"/>
                <w:szCs w:val="15"/>
              </w:rPr>
              <w:t>省级、县级农业（果树）行政主管部门</w:t>
            </w:r>
          </w:p>
        </w:tc>
        <w:tc>
          <w:tcPr>
            <w:tcW w:w="240" w:type="dxa"/>
            <w:noWrap w:val="0"/>
            <w:vAlign w:val="center"/>
          </w:tcPr>
          <w:p w14:paraId="2088675D">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4F0533A3">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08C011C6">
            <w:pPr>
              <w:widowControl/>
              <w:spacing w:beforeLines="0" w:afterLines="0" w:line="180" w:lineRule="exact"/>
              <w:contextualSpacing/>
              <w:jc w:val="center"/>
              <w:rPr>
                <w:rFonts w:ascii="Times New Roman" w:hAnsi="Times New Roman" w:cs="Times New Roman"/>
                <w:kern w:val="0"/>
                <w:sz w:val="15"/>
                <w:szCs w:val="15"/>
              </w:rPr>
            </w:pPr>
          </w:p>
        </w:tc>
        <w:tc>
          <w:tcPr>
            <w:tcW w:w="240" w:type="dxa"/>
            <w:noWrap w:val="0"/>
            <w:vAlign w:val="center"/>
          </w:tcPr>
          <w:p w14:paraId="603146CD">
            <w:pPr>
              <w:widowControl/>
              <w:spacing w:beforeLines="0" w:afterLines="0" w:line="180" w:lineRule="exact"/>
              <w:contextualSpacing/>
              <w:jc w:val="center"/>
              <w:rPr>
                <w:rFonts w:ascii="Times New Roman" w:hAnsi="Times New Roman" w:cs="Times New Roman"/>
                <w:kern w:val="0"/>
                <w:sz w:val="15"/>
                <w:szCs w:val="15"/>
              </w:rPr>
            </w:pPr>
            <w:r>
              <w:rPr>
                <w:rFonts w:hint="default" w:ascii="Times New Roman" w:hAnsi="Times New Roman" w:cs="Times New Roman"/>
                <w:kern w:val="0"/>
                <w:sz w:val="15"/>
                <w:szCs w:val="15"/>
              </w:rPr>
              <w:t>√　</w:t>
            </w:r>
          </w:p>
        </w:tc>
        <w:tc>
          <w:tcPr>
            <w:tcW w:w="1748" w:type="dxa"/>
            <w:noWrap w:val="0"/>
            <w:vAlign w:val="center"/>
          </w:tcPr>
          <w:p w14:paraId="429E76D9">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1.实现申请、审批网上办理。2.将审批时限由20个工作日压减至15个工作日。</w:t>
            </w:r>
          </w:p>
        </w:tc>
        <w:tc>
          <w:tcPr>
            <w:tcW w:w="2468" w:type="dxa"/>
            <w:noWrap w:val="0"/>
            <w:vAlign w:val="center"/>
          </w:tcPr>
          <w:p w14:paraId="33308A84">
            <w:pPr>
              <w:widowControl/>
              <w:spacing w:beforeLines="0" w:afterLines="0" w:line="180" w:lineRule="exact"/>
              <w:contextualSpacing/>
              <w:rPr>
                <w:rFonts w:ascii="Times New Roman" w:hAnsi="Times New Roman" w:cs="Times New Roman"/>
                <w:kern w:val="0"/>
                <w:sz w:val="15"/>
                <w:szCs w:val="15"/>
              </w:rPr>
            </w:pPr>
            <w:r>
              <w:rPr>
                <w:rFonts w:hint="default" w:ascii="Times New Roman" w:hAnsi="Times New Roman" w:cs="Times New Roman"/>
                <w:kern w:val="0"/>
                <w:sz w:val="15"/>
                <w:szCs w:val="15"/>
              </w:rPr>
              <w:t>1.开展“双随机、一公开”监管，根据风险程度，合理确定抽查比例，对风险等级高的领域、投诉举报多的企业实施重点监管。2.强化社会监督，依法及时处理举报、投诉问题，调查处理结果向社会公开。</w:t>
            </w:r>
          </w:p>
        </w:tc>
      </w:tr>
    </w:tbl>
    <w:p w14:paraId="5522A2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2819"/>
    <w:rsid w:val="6676097E"/>
    <w:rsid w:val="75D0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1417</Words>
  <Characters>1445</Characters>
  <Lines>0</Lines>
  <Paragraphs>0</Paragraphs>
  <TotalTime>0</TotalTime>
  <ScaleCrop>false</ScaleCrop>
  <LinksUpToDate>false</LinksUpToDate>
  <CharactersWithSpaces>1451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2019-11-29T03:59:00Z</dcterms:created>
  <dc:creator>张靖宇</dc:creator>
  <cp:lastModifiedBy>吴茜</cp:lastModifiedBy>
  <dcterms:modified xsi:type="dcterms:W3CDTF">2026-05-24T03:08:21Z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eyJoZGlkIjoiMDU0ODc0YjhlNDA0YmY0OTQ4ZGFjZmY2NGVmMGJiNjYiLCJ1c2VySWQiOiIyNTUzMjQwMDEifQ==</vt:lpwstr>
  </property>
  <property fmtid="{D5CDD505-2E9C-101B-9397-08002B2CF9AE}" pid="4" name="ICV">
    <vt:lpwstr>8389416B51BC4E3F8AC28CE3704E2DF2_12</vt:lpwstr>
  </property>
</Properties>
</file>